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7184" w14:textId="77777777" w:rsidR="00120D6E" w:rsidRPr="00664EC2" w:rsidRDefault="00120D6E" w:rsidP="00120D6E">
      <w:pPr>
        <w:pStyle w:val="Header"/>
        <w:tabs>
          <w:tab w:val="clear" w:pos="4320"/>
          <w:tab w:val="clear" w:pos="8640"/>
          <w:tab w:val="left" w:pos="2880"/>
        </w:tabs>
        <w:ind w:left="18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6368C6" wp14:editId="40B73B30">
            <wp:simplePos x="0" y="0"/>
            <wp:positionH relativeFrom="margin">
              <wp:posOffset>5677535</wp:posOffset>
            </wp:positionH>
            <wp:positionV relativeFrom="margin">
              <wp:posOffset>-67310</wp:posOffset>
            </wp:positionV>
            <wp:extent cx="676910" cy="676910"/>
            <wp:effectExtent l="0" t="0" r="0" b="0"/>
            <wp:wrapSquare wrapText="bothSides"/>
            <wp:docPr id="2" name="Picture 6" descr="2014 Eagle 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4 Eagle RGB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</w:rPr>
        <w:drawing>
          <wp:inline distT="0" distB="0" distL="0" distR="0" wp14:anchorId="5066704F" wp14:editId="04EF78AB">
            <wp:extent cx="1774825" cy="645160"/>
            <wp:effectExtent l="0" t="0" r="0" b="0"/>
            <wp:docPr id="1" name="Picture 1" descr="C:\Users\kjcrouch\Downloads\EPISD SEAL (1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crouch\Downloads\EPISD SEAL (1)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</w:t>
      </w:r>
    </w:p>
    <w:p w14:paraId="679ED4A1" w14:textId="77777777" w:rsidR="00120D6E" w:rsidRDefault="00120D6E" w:rsidP="00120D6E">
      <w:pPr>
        <w:pStyle w:val="Header"/>
        <w:tabs>
          <w:tab w:val="clear" w:pos="4320"/>
          <w:tab w:val="clear" w:pos="8640"/>
          <w:tab w:val="right" w:pos="10170"/>
        </w:tabs>
        <w:ind w:left="180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___________________________________________________________________________________________________________________________________________</w:t>
      </w:r>
    </w:p>
    <w:p w14:paraId="5350121C" w14:textId="77777777" w:rsidR="00120D6E" w:rsidRPr="00661399" w:rsidRDefault="00120D6E" w:rsidP="00120D6E">
      <w:pPr>
        <w:pStyle w:val="Header"/>
        <w:tabs>
          <w:tab w:val="clear" w:pos="4320"/>
          <w:tab w:val="clear" w:pos="8640"/>
          <w:tab w:val="right" w:pos="10170"/>
        </w:tabs>
        <w:ind w:left="180"/>
        <w:rPr>
          <w:rFonts w:ascii="AvantGarde" w:hAnsi="AvantGarde"/>
          <w:sz w:val="14"/>
          <w:szCs w:val="14"/>
        </w:rPr>
      </w:pPr>
      <w:r>
        <w:rPr>
          <w:sz w:val="14"/>
          <w:szCs w:val="14"/>
        </w:rPr>
        <w:t>Transmountain Early College High School</w:t>
      </w:r>
    </w:p>
    <w:p w14:paraId="41D38C0C" w14:textId="77777777" w:rsidR="00120D6E" w:rsidRPr="00661399" w:rsidRDefault="00120D6E" w:rsidP="00120D6E">
      <w:pPr>
        <w:pStyle w:val="Header"/>
        <w:tabs>
          <w:tab w:val="clear" w:pos="4320"/>
          <w:tab w:val="clear" w:pos="8640"/>
          <w:tab w:val="right" w:pos="10170"/>
        </w:tabs>
        <w:ind w:left="180"/>
        <w:rPr>
          <w:rFonts w:ascii="AvantGarde" w:hAnsi="AvantGarde"/>
          <w:i/>
          <w:sz w:val="14"/>
          <w:szCs w:val="14"/>
        </w:rPr>
      </w:pPr>
      <w:r w:rsidRPr="00661399">
        <w:rPr>
          <w:rFonts w:ascii="AvantGarde" w:hAnsi="AvantGarde"/>
          <w:i/>
          <w:sz w:val="14"/>
          <w:szCs w:val="14"/>
        </w:rPr>
        <w:t>Office of the Principal</w:t>
      </w:r>
    </w:p>
    <w:p w14:paraId="6BB073F6" w14:textId="77777777" w:rsidR="00120D6E" w:rsidRPr="00661399" w:rsidRDefault="00120D6E" w:rsidP="00120D6E">
      <w:pPr>
        <w:pStyle w:val="Header"/>
        <w:tabs>
          <w:tab w:val="clear" w:pos="4320"/>
          <w:tab w:val="clear" w:pos="8640"/>
          <w:tab w:val="right" w:pos="10170"/>
        </w:tabs>
        <w:rPr>
          <w:rFonts w:ascii="AvantGarde" w:hAnsi="AvantGarde"/>
          <w:i/>
          <w:sz w:val="14"/>
          <w:szCs w:val="14"/>
        </w:rPr>
      </w:pPr>
      <w:r>
        <w:rPr>
          <w:rFonts w:ascii="AvantGarde" w:hAnsi="AvantGarde"/>
          <w:i/>
          <w:sz w:val="16"/>
        </w:rPr>
        <w:t xml:space="preserve">    </w:t>
      </w:r>
      <w:r>
        <w:rPr>
          <w:rFonts w:ascii="AvantGarde" w:hAnsi="AvantGarde"/>
          <w:i/>
          <w:sz w:val="14"/>
          <w:szCs w:val="14"/>
        </w:rPr>
        <w:t>Barbara Brinkley-Lopez</w:t>
      </w:r>
    </w:p>
    <w:p w14:paraId="6B5D88C5" w14:textId="5C1DDDEF" w:rsidR="00120D6E" w:rsidRPr="00EA0A57" w:rsidRDefault="00120D6E" w:rsidP="00120D6E">
      <w:pPr>
        <w:jc w:val="center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Compacto</w:t>
      </w:r>
      <w:proofErr w:type="spellEnd"/>
      <w:r>
        <w:rPr>
          <w:rFonts w:ascii="Arial" w:hAnsi="Arial" w:cs="Arial"/>
          <w:sz w:val="17"/>
          <w:szCs w:val="17"/>
        </w:rPr>
        <w:t xml:space="preserve"> Familiar de TMECHS</w:t>
      </w:r>
    </w:p>
    <w:p w14:paraId="7E54D6B0" w14:textId="77777777" w:rsidR="00120D6E" w:rsidRDefault="00120D6E" w:rsidP="00120D6E">
      <w:pPr>
        <w:jc w:val="center"/>
        <w:rPr>
          <w:rFonts w:ascii="Arial" w:hAnsi="Arial" w:cs="Arial"/>
          <w:sz w:val="17"/>
          <w:szCs w:val="17"/>
        </w:rPr>
      </w:pPr>
      <w:r w:rsidRPr="00EA0A57">
        <w:rPr>
          <w:rFonts w:ascii="Arial" w:hAnsi="Arial" w:cs="Arial"/>
          <w:sz w:val="17"/>
          <w:szCs w:val="17"/>
        </w:rPr>
        <w:t>20</w:t>
      </w:r>
      <w:r>
        <w:rPr>
          <w:rFonts w:ascii="Arial" w:hAnsi="Arial" w:cs="Arial"/>
          <w:sz w:val="17"/>
          <w:szCs w:val="17"/>
        </w:rPr>
        <w:t>23-2024</w:t>
      </w:r>
    </w:p>
    <w:p w14:paraId="17BD1826" w14:textId="77777777" w:rsidR="00120D6E" w:rsidRDefault="00120D6E" w:rsidP="00120D6E">
      <w:pPr>
        <w:jc w:val="center"/>
        <w:rPr>
          <w:rFonts w:ascii="Arial" w:hAnsi="Arial" w:cs="Arial"/>
          <w:sz w:val="17"/>
          <w:szCs w:val="17"/>
        </w:rPr>
      </w:pPr>
    </w:p>
    <w:p w14:paraId="4C54272C" w14:textId="77777777" w:rsidR="00120D6E" w:rsidRPr="00EB1C89" w:rsidRDefault="00120D6E" w:rsidP="00120D6E">
      <w:pPr>
        <w:jc w:val="center"/>
        <w:rPr>
          <w:rFonts w:ascii="Arial" w:hAnsi="Arial" w:cs="Arial"/>
          <w:sz w:val="15"/>
          <w:szCs w:val="15"/>
        </w:rPr>
      </w:pPr>
      <w:r w:rsidRPr="00EB1C89">
        <w:rPr>
          <w:rFonts w:ascii="Arial" w:hAnsi="Arial" w:cs="Arial"/>
          <w:sz w:val="15"/>
          <w:szCs w:val="15"/>
        </w:rPr>
        <w:t>The English and Spanish versions of this Parent Engagement Compact will be physically &amp; visibly located in the Attendance Office Document Hub (A202), Parent Engagement Office (A202), and Principal’s Office (A20</w:t>
      </w:r>
      <w:r>
        <w:rPr>
          <w:rFonts w:ascii="Arial" w:hAnsi="Arial" w:cs="Arial"/>
          <w:sz w:val="15"/>
          <w:szCs w:val="15"/>
        </w:rPr>
        <w:t>4</w:t>
      </w:r>
      <w:r w:rsidRPr="00EB1C89">
        <w:rPr>
          <w:rFonts w:ascii="Arial" w:hAnsi="Arial" w:cs="Arial"/>
          <w:sz w:val="15"/>
          <w:szCs w:val="15"/>
        </w:rPr>
        <w:t>). Access to this compact online in both languages will also be available through the Transmountain Early College High School website at www.episd.org/tmechs, under the parent engagement section.</w:t>
      </w:r>
    </w:p>
    <w:p w14:paraId="536F93C2" w14:textId="77777777" w:rsidR="00120D6E" w:rsidRPr="00EB1C89" w:rsidRDefault="00120D6E" w:rsidP="00120D6E">
      <w:pPr>
        <w:jc w:val="center"/>
        <w:rPr>
          <w:rFonts w:ascii="Arial" w:hAnsi="Arial" w:cs="Arial"/>
          <w:sz w:val="15"/>
          <w:szCs w:val="15"/>
        </w:rPr>
      </w:pPr>
    </w:p>
    <w:p w14:paraId="7A844BF8" w14:textId="77777777" w:rsidR="00120D6E" w:rsidRDefault="00120D6E" w:rsidP="00120D6E">
      <w:pPr>
        <w:jc w:val="center"/>
        <w:rPr>
          <w:rFonts w:ascii="Arial" w:hAnsi="Arial" w:cs="Arial"/>
          <w:sz w:val="15"/>
          <w:szCs w:val="15"/>
          <w:lang w:val="es-US"/>
        </w:rPr>
      </w:pPr>
      <w:r w:rsidRPr="00EB1C89">
        <w:rPr>
          <w:rFonts w:ascii="Arial" w:hAnsi="Arial" w:cs="Arial"/>
          <w:sz w:val="15"/>
          <w:szCs w:val="15"/>
          <w:lang w:val="es-US"/>
        </w:rPr>
        <w:t>La versión en inglés y en español de este Pacto de Participación de Padres será ubicada físicamente y visible en el Centro de Documentos de la Oficina de Asistencia (A202), la Oficina de Participación de Padres (A202) y la Oficina del Director (A20</w:t>
      </w:r>
      <w:r>
        <w:rPr>
          <w:rFonts w:ascii="Arial" w:hAnsi="Arial" w:cs="Arial"/>
          <w:sz w:val="15"/>
          <w:szCs w:val="15"/>
          <w:lang w:val="es-US"/>
        </w:rPr>
        <w:t>4</w:t>
      </w:r>
      <w:r w:rsidRPr="00EB1C89">
        <w:rPr>
          <w:rFonts w:ascii="Arial" w:hAnsi="Arial" w:cs="Arial"/>
          <w:sz w:val="15"/>
          <w:szCs w:val="15"/>
          <w:lang w:val="es-US"/>
        </w:rPr>
        <w:t>). El acceso a este pacto en línea en ambos idiomas estará disponible a través del sitio web de Transmountain Early College High School en www.episd.org/tmechs, en la sección de participación de padres.</w:t>
      </w:r>
    </w:p>
    <w:p w14:paraId="5C44239F" w14:textId="77777777" w:rsidR="00120D6E" w:rsidRDefault="00120D6E" w:rsidP="00120D6E">
      <w:pPr>
        <w:jc w:val="center"/>
        <w:rPr>
          <w:rFonts w:ascii="Arial" w:hAnsi="Arial" w:cs="Arial"/>
          <w:sz w:val="15"/>
          <w:szCs w:val="15"/>
          <w:lang w:val="es-US"/>
        </w:rPr>
      </w:pPr>
    </w:p>
    <w:p w14:paraId="7E782967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La Escuela Secundaria Temprana Transmountain (TMECHS) está comprometida con la creencia de que todos los niños pueden aprender y reconoce que todos nosotros, maestros, administradores y padres, trabajando juntos, podemos marcar una diferencia positiva en el logro estudiantil. Nos comprometemos a proporcionar un ambiente de aprendizaje riguroso que prepare a los estudiantes para obtener tanto un diploma de escuela secundaria como un título asociado universitario. Pedimos a todos los padres que se comprometan a participar en el éxito académico de sus hijos.</w:t>
      </w:r>
    </w:p>
    <w:p w14:paraId="62D93FF0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</w:p>
    <w:p w14:paraId="4376CD34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Juntos podemos:</w:t>
      </w:r>
    </w:p>
    <w:p w14:paraId="3FAB16C3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1. Convertirnos en socios en la educación de los niños.</w:t>
      </w:r>
    </w:p>
    <w:p w14:paraId="21950CA3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2. Alentar y desafiar a los niños a alcanzar su máximo potencial educativo.</w:t>
      </w:r>
    </w:p>
    <w:p w14:paraId="6E127BDD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3. Mejorar los esfuerzos de prevención de la deserción escolar para que todos los estudiantes permanezcan en la escuela hasta obtener un diploma de escuela secundaria.</w:t>
      </w:r>
    </w:p>
    <w:p w14:paraId="5626C565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4. Proporcionar un plan de estudios equilibrado y apropiado para todos los estudiantes.</w:t>
      </w:r>
    </w:p>
    <w:p w14:paraId="286F9420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5. Contratar personal altamente calificado y altamente efectivo.</w:t>
      </w:r>
    </w:p>
    <w:p w14:paraId="5B9260B2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6. Demostrar un rendimiento ejemplar en comparación con las escuelas nacionales e internacionales.</w:t>
      </w:r>
    </w:p>
    <w:p w14:paraId="19947B09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7. Mantener un entorno seguro y disciplinado propicio para el aprendizaje estudiantil.</w:t>
      </w:r>
    </w:p>
    <w:p w14:paraId="7040D119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8. Mejorar el aprendizaje estudiantil.</w:t>
      </w:r>
    </w:p>
    <w:p w14:paraId="01A29B34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9. Implementar la tecnología a nivel escolar.</w:t>
      </w:r>
    </w:p>
    <w:p w14:paraId="5628DBC0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10. Esforzarse por la preparación y finalización universitaria.</w:t>
      </w:r>
    </w:p>
    <w:p w14:paraId="788347FD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</w:p>
    <w:p w14:paraId="5F6DA826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Para hacer esto realidad:</w:t>
      </w:r>
    </w:p>
    <w:p w14:paraId="0CD8A1BC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</w:p>
    <w:p w14:paraId="6DC15A4C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Los padres se comprometen a:</w:t>
      </w:r>
    </w:p>
    <w:p w14:paraId="2DB20DDF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1. Insistir en que todas las tareas se completen cada noche.</w:t>
      </w:r>
    </w:p>
    <w:p w14:paraId="22CAEC05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2. Discutir lo que su hijo aprendió en la escuela cada día en al menos 2/clases/áreas de instrucción.</w:t>
      </w:r>
    </w:p>
    <w:p w14:paraId="5DCD44A5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3. Insistir en que su hijo lea material desafiante durante al menos diez minutos cada noche.</w:t>
      </w:r>
    </w:p>
    <w:p w14:paraId="26CF5D10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4. Por favor, pida a su hijo que le explique al menos un problema de matemáticas de su tarea por noche.</w:t>
      </w:r>
    </w:p>
    <w:p w14:paraId="7C31F099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5. Recordar a su hijo la necesidad de disciplina en el aula.</w:t>
      </w:r>
    </w:p>
    <w:p w14:paraId="22E809DB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6. Proporcionar un ambiente tranquilo para estudiar y completar tareas.</w:t>
      </w:r>
    </w:p>
    <w:p w14:paraId="3ACEDC2B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7. Asistir a todas las sesiones de información para padres.</w:t>
      </w:r>
    </w:p>
    <w:p w14:paraId="2CE12DA5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8. Utilizar el portal para padres para administrar las calificaciones y ausencias de su hijo.</w:t>
      </w:r>
    </w:p>
    <w:p w14:paraId="55A0EC7B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9. Comunicarse regularmente con los maestros y buscar orientación del instructor si tiene dificultades para ayudar a su hijo en casa.</w:t>
      </w:r>
    </w:p>
    <w:p w14:paraId="199D06D9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10. Asegurarse de que su hijo duerma adecuadamente cada noche.</w:t>
      </w:r>
    </w:p>
    <w:p w14:paraId="381C7658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11. Monitorear y limitar el tiempo frente a pantallas (TV, juegos, redes sociales), asegurándose de que se completen todas las tareas y actividades académicas antes.</w:t>
      </w:r>
    </w:p>
    <w:p w14:paraId="36F4DAB2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</w:p>
    <w:p w14:paraId="6A76B880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Los estudiantes se comprometen a:</w:t>
      </w:r>
    </w:p>
    <w:p w14:paraId="6790FE88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1. Ser respetuosos, responsables y seguros.</w:t>
      </w:r>
    </w:p>
    <w:p w14:paraId="4081A729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2. Venir preparados para la clase (con materiales / suministros adecuados) y tener todas las tareas y lecturas completadas antes de que comience el curso.</w:t>
      </w:r>
    </w:p>
    <w:p w14:paraId="48F69E1F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3. Ser un oyente y participante activo en clase y fuera de ella, dedicando diez minutos cada noche para leer material desafiante y tiempo para revisar las lecciones presentadas durante el curso ese día.</w:t>
      </w:r>
    </w:p>
    <w:p w14:paraId="381CD704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4. Seguir el Código de Conducta del Estudiante del Distrito y los Valores Fundamentales de la Escuela.</w:t>
      </w:r>
    </w:p>
    <w:p w14:paraId="4571806E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5. Completar y enviar las tareas del curso antes de la fecha límite establecida.</w:t>
      </w:r>
    </w:p>
    <w:p w14:paraId="2E58DCD8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6. Seguir la política de teléfonos celulares establecida.</w:t>
      </w:r>
    </w:p>
    <w:p w14:paraId="221D1EFD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</w:p>
    <w:p w14:paraId="523AA58D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Los empleados se comprometen a:</w:t>
      </w:r>
    </w:p>
    <w:p w14:paraId="2EEE03AA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1. Optimizar el entorno de aprendizaje para estimular el interés y la participación estudiantil al máximo.</w:t>
      </w:r>
    </w:p>
    <w:p w14:paraId="7C0F6ABE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2. Preparar a los estudiantes para tener éxito en el mundo laboral.</w:t>
      </w:r>
    </w:p>
    <w:p w14:paraId="767F00FE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3. Utilizar varias estrategias de aprendizaje impartidas en el desarrollo del personal y estar disponibles para estudiantes o padres que necesiten ayuda con el material rígido.</w:t>
      </w:r>
    </w:p>
    <w:p w14:paraId="015607CA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4. Adaptar las lecciones a todos los estilos de aprendizaje mientras se mantiene un plan de estudios de alta calidad con evaluaciones equilibradas.</w:t>
      </w:r>
    </w:p>
    <w:p w14:paraId="5C757911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5. Coordinar la colaboración interdisciplinaria del profesorado en tareas para proporcionar transiciones más suaves en el nivel de grado.</w:t>
      </w:r>
    </w:p>
    <w:p w14:paraId="21B27338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6. Proporcionar un ambiente "de ir a la universidad" que ayude a los estudiantes a hacer la transición hacia mentalidades universitarias.</w:t>
      </w:r>
    </w:p>
    <w:p w14:paraId="55FAFBD1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7. Continuar el crecimiento profesional.</w:t>
      </w:r>
    </w:p>
    <w:p w14:paraId="189B5DEA" w14:textId="77777777" w:rsidR="00120D6E" w:rsidRPr="00120D6E" w:rsidRDefault="00120D6E" w:rsidP="00120D6E">
      <w:pPr>
        <w:rPr>
          <w:rFonts w:ascii="Arial" w:hAnsi="Arial" w:cs="Arial"/>
          <w:sz w:val="15"/>
          <w:szCs w:val="15"/>
          <w:lang w:val="es-US"/>
        </w:rPr>
      </w:pPr>
    </w:p>
    <w:p w14:paraId="46C8AA9E" w14:textId="1B6E9D72" w:rsidR="00120D6E" w:rsidRPr="00EB1C89" w:rsidRDefault="00120D6E" w:rsidP="00120D6E">
      <w:pPr>
        <w:rPr>
          <w:rFonts w:ascii="Arial" w:hAnsi="Arial" w:cs="Arial"/>
          <w:sz w:val="15"/>
          <w:szCs w:val="15"/>
          <w:lang w:val="es-US"/>
        </w:rPr>
      </w:pPr>
      <w:r w:rsidRPr="00120D6E">
        <w:rPr>
          <w:rFonts w:ascii="Arial" w:hAnsi="Arial" w:cs="Arial"/>
          <w:sz w:val="15"/>
          <w:szCs w:val="15"/>
          <w:lang w:val="es-US"/>
        </w:rPr>
        <w:t>Como escuela, nos comprometemos a revisar la información en estos pactos con nuestros estudiantes, padres y profesores durante todo el año. Además, prometemos revisar el contenido del pacto al final de cada año escolar y hacer alteraciones según lo vean adecuado los padres, estudiantes y profesores.</w:t>
      </w:r>
    </w:p>
    <w:p w14:paraId="06D15942" w14:textId="1E4C5EBE" w:rsidR="00120D6E" w:rsidRDefault="00120D6E" w:rsidP="00120D6E"/>
    <w:sectPr w:rsidR="00120D6E" w:rsidSect="00120D6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3442" w14:textId="77777777" w:rsidR="00DA620F" w:rsidRDefault="00DA620F" w:rsidP="00120D6E">
      <w:r>
        <w:separator/>
      </w:r>
    </w:p>
  </w:endnote>
  <w:endnote w:type="continuationSeparator" w:id="0">
    <w:p w14:paraId="46362761" w14:textId="77777777" w:rsidR="00DA620F" w:rsidRDefault="00DA620F" w:rsidP="0012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vantGarde">
    <w:altName w:val="Century Gothi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32F7" w14:textId="77777777" w:rsidR="00120D6E" w:rsidRPr="006B5E01" w:rsidRDefault="00120D6E" w:rsidP="00120D6E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9570 Gateway Blvd. North -- EC•</w:t>
    </w:r>
    <w:r w:rsidRPr="006B5E01">
      <w:rPr>
        <w:sz w:val="16"/>
        <w:szCs w:val="16"/>
      </w:rPr>
      <w:t xml:space="preserve"> El Paso, Texas 79924</w:t>
    </w:r>
    <w:r>
      <w:rPr>
        <w:sz w:val="16"/>
        <w:szCs w:val="16"/>
      </w:rPr>
      <w:t xml:space="preserve"> • (915) 236-5000</w:t>
    </w:r>
  </w:p>
  <w:p w14:paraId="19345580" w14:textId="77777777" w:rsidR="00120D6E" w:rsidRDefault="00120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A5A2" w14:textId="77777777" w:rsidR="00DA620F" w:rsidRDefault="00DA620F" w:rsidP="00120D6E">
      <w:r>
        <w:separator/>
      </w:r>
    </w:p>
  </w:footnote>
  <w:footnote w:type="continuationSeparator" w:id="0">
    <w:p w14:paraId="3D3BDCF9" w14:textId="77777777" w:rsidR="00DA620F" w:rsidRDefault="00DA620F" w:rsidP="00120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6E"/>
    <w:rsid w:val="00120D6E"/>
    <w:rsid w:val="00343B9C"/>
    <w:rsid w:val="006E4677"/>
    <w:rsid w:val="00D247C9"/>
    <w:rsid w:val="00D326AD"/>
    <w:rsid w:val="00DA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3D98"/>
  <w15:chartTrackingRefBased/>
  <w15:docId w15:val="{19164A17-BDD8-EB40-8497-FE657795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0D6E"/>
    <w:pPr>
      <w:tabs>
        <w:tab w:val="center" w:pos="4320"/>
        <w:tab w:val="right" w:pos="8640"/>
      </w:tabs>
    </w:pPr>
    <w:rPr>
      <w:rFonts w:ascii="Palatino" w:eastAsia="Times New Roman" w:hAnsi="Palatino" w:cs="Times New Roman"/>
      <w:kern w:val="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rsid w:val="00120D6E"/>
    <w:rPr>
      <w:rFonts w:ascii="Palatino" w:eastAsia="Times New Roman" w:hAnsi="Palatino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nhideWhenUsed/>
    <w:rsid w:val="00120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Kelley</dc:creator>
  <cp:keywords/>
  <dc:description/>
  <cp:lastModifiedBy>Christian Kelley</cp:lastModifiedBy>
  <cp:revision>1</cp:revision>
  <dcterms:created xsi:type="dcterms:W3CDTF">2023-09-12T14:39:00Z</dcterms:created>
  <dcterms:modified xsi:type="dcterms:W3CDTF">2023-09-12T14:42:00Z</dcterms:modified>
</cp:coreProperties>
</file>