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65FE" w14:textId="3E066B1D" w:rsidR="00415423" w:rsidRDefault="004D5858" w:rsidP="00C034BB">
      <w:pPr>
        <w:pStyle w:val="BodyText"/>
        <w:rPr>
          <w:rFonts w:ascii="Times New Roman"/>
          <w:sz w:val="20"/>
        </w:rPr>
      </w:pPr>
      <w:r>
        <w:rPr>
          <w:rFonts w:ascii="Times New Roman"/>
          <w:noProof/>
          <w:sz w:val="20"/>
        </w:rPr>
        <w:drawing>
          <wp:inline distT="0" distB="0" distL="0" distR="0" wp14:anchorId="243B8907" wp14:editId="3E3DA960">
            <wp:extent cx="955458" cy="481012"/>
            <wp:effectExtent l="0" t="0" r="0" b="0"/>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955458" cy="481012"/>
                    </a:xfrm>
                    <a:prstGeom prst="rect">
                      <a:avLst/>
                    </a:prstGeom>
                  </pic:spPr>
                </pic:pic>
              </a:graphicData>
            </a:graphic>
          </wp:inline>
        </w:drawing>
      </w:r>
      <w:r w:rsidR="00DA50A7">
        <w:rPr>
          <w:noProof/>
        </w:rPr>
        <w:t xml:space="preserve">    </w:t>
      </w:r>
      <w:r w:rsidR="00DA50A7">
        <w:rPr>
          <w:noProof/>
        </w:rPr>
        <mc:AlternateContent>
          <mc:Choice Requires="wps">
            <w:drawing>
              <wp:inline distT="0" distB="0" distL="0" distR="0" wp14:anchorId="79F51E23" wp14:editId="3541240E">
                <wp:extent cx="635" cy="360680"/>
                <wp:effectExtent l="9525" t="14605" r="9525" b="15240"/>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12700">
                          <a:solidFill>
                            <a:srgbClr val="E8E2DA"/>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1BC6B2"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" strokecolor="#e8e2da" strokeweight="1pt">
                <w10:anchorlock/>
              </v:line>
            </w:pict>
          </mc:Fallback>
        </mc:AlternateContent>
      </w:r>
      <w:r>
        <w:rPr>
          <w:rFonts w:ascii="Times New Roman"/>
          <w:sz w:val="20"/>
        </w:rPr>
        <w:tab/>
      </w:r>
      <w:r>
        <w:rPr>
          <w:rFonts w:ascii="Times New Roman"/>
          <w:noProof/>
          <w:position w:val="3"/>
          <w:sz w:val="20"/>
        </w:rPr>
        <w:drawing>
          <wp:inline distT="0" distB="0" distL="0" distR="0" wp14:anchorId="1ABCFC78" wp14:editId="6D0EAC79">
            <wp:extent cx="1720279" cy="488315"/>
            <wp:effectExtent l="0" t="0" r="0" b="6985"/>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733861" cy="492170"/>
                    </a:xfrm>
                    <a:prstGeom prst="rect">
                      <a:avLst/>
                    </a:prstGeom>
                  </pic:spPr>
                </pic:pic>
              </a:graphicData>
            </a:graphic>
          </wp:inline>
        </w:drawing>
      </w:r>
    </w:p>
    <w:p w14:paraId="0D8A96EB" w14:textId="5B53EF0B" w:rsidR="00415423" w:rsidRDefault="0017167C">
      <w:pPr>
        <w:pStyle w:val="BodyText"/>
        <w:rPr>
          <w:rFonts w:ascii="Times New Roman"/>
          <w:sz w:val="20"/>
        </w:rPr>
      </w:pPr>
      <w:r w:rsidRPr="006E2B63">
        <w:rPr>
          <w:rFonts w:ascii="Times New Roman"/>
          <w:noProof/>
          <w:sz w:val="25"/>
        </w:rPr>
        <mc:AlternateContent>
          <mc:Choice Requires="wps">
            <w:drawing>
              <wp:anchor distT="0" distB="0" distL="114300" distR="114300" simplePos="0" relativeHeight="251658752" behindDoc="1" locked="0" layoutInCell="1" allowOverlap="1" wp14:anchorId="4817E053" wp14:editId="3F831D35">
                <wp:simplePos x="0" y="0"/>
                <wp:positionH relativeFrom="margin">
                  <wp:align>left</wp:align>
                </wp:positionH>
                <wp:positionV relativeFrom="paragraph">
                  <wp:posOffset>46990</wp:posOffset>
                </wp:positionV>
                <wp:extent cx="12191999" cy="873125"/>
                <wp:effectExtent l="0" t="0" r="635" b="3175"/>
                <wp:wrapNone/>
                <wp:docPr id="9"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1999" cy="873125"/>
                        </a:xfrm>
                        <a:custGeom>
                          <a:avLst/>
                          <a:gdLst/>
                          <a:ahLst/>
                          <a:cxnLst/>
                          <a:rect l="l" t="t" r="r" b="b"/>
                          <a:pathLst>
                            <a:path w="20104100" h="419100">
                              <a:moveTo>
                                <a:pt x="20104100" y="0"/>
                              </a:moveTo>
                              <a:lnTo>
                                <a:pt x="0" y="0"/>
                              </a:lnTo>
                              <a:lnTo>
                                <a:pt x="0" y="293370"/>
                              </a:lnTo>
                              <a:lnTo>
                                <a:pt x="4102" y="293370"/>
                              </a:lnTo>
                              <a:lnTo>
                                <a:pt x="4102" y="381000"/>
                              </a:lnTo>
                              <a:lnTo>
                                <a:pt x="0" y="381000"/>
                              </a:lnTo>
                              <a:lnTo>
                                <a:pt x="0" y="419087"/>
                              </a:lnTo>
                              <a:lnTo>
                                <a:pt x="20104100" y="419087"/>
                              </a:lnTo>
                              <a:lnTo>
                                <a:pt x="20104100" y="381000"/>
                              </a:lnTo>
                              <a:lnTo>
                                <a:pt x="20104100" y="293370"/>
                              </a:lnTo>
                              <a:lnTo>
                                <a:pt x="20104100" y="0"/>
                              </a:lnTo>
                              <a:close/>
                            </a:path>
                          </a:pathLst>
                        </a:custGeom>
                        <a:gradFill flip="none" rotWithShape="1">
                          <a:gsLst>
                            <a:gs pos="0">
                              <a:srgbClr val="704280">
                                <a:shade val="30000"/>
                                <a:satMod val="115000"/>
                              </a:srgbClr>
                            </a:gs>
                            <a:gs pos="50000">
                              <a:srgbClr val="704280">
                                <a:shade val="67500"/>
                                <a:satMod val="115000"/>
                              </a:srgbClr>
                            </a:gs>
                            <a:gs pos="100000">
                              <a:srgbClr val="704280">
                                <a:shade val="100000"/>
                                <a:satMod val="115000"/>
                              </a:srgbClr>
                            </a:gs>
                          </a:gsLst>
                          <a:path path="circle">
                            <a:fillToRect l="100000" t="100000"/>
                          </a:path>
                          <a:tileRect r="-100000" b="-100000"/>
                        </a:gradFill>
                      </wps:spPr>
                      <wps:bodyPr wrap="square" lIns="0" tIns="0" rIns="0" bIns="0" rtlCol="0"/>
                    </wps:wsp>
                  </a:graphicData>
                </a:graphic>
                <wp14:sizeRelV relativeFrom="margin">
                  <wp14:pctHeight>0</wp14:pctHeight>
                </wp14:sizeRelV>
              </wp:anchor>
            </w:drawing>
          </mc:Choice>
          <mc:Fallback>
            <w:pict>
              <v:shape w14:anchorId="4EF07FD3" id="object 5" o:spid="_x0000_s1026" alt="&quot;&quot;" style="position:absolute;margin-left:0;margin-top:3.7pt;width:960pt;height:68.75pt;z-index:-251657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201041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" path="m20104100,l,,,293370r4102,l4102,381000r-4102,l,419087r20104100,l20104100,381000r,-87630l20104100,xe" fillcolor="#40204b" stroked="f">
                <v:fill color2="#723d85" rotate="t" focusposition="1,1" focussize="" colors="0 #40204b;.5 #5f326e;1 #723d85" focus="100%" type="gradientRadial"/>
                <v:path arrowok="t"/>
                <w10:wrap anchorx="margin"/>
              </v:shape>
            </w:pict>
          </mc:Fallback>
        </mc:AlternateContent>
      </w:r>
    </w:p>
    <w:p w14:paraId="786895C3" w14:textId="46714778" w:rsidR="00415423" w:rsidRDefault="00415423">
      <w:pPr>
        <w:pStyle w:val="BodyText"/>
        <w:rPr>
          <w:rFonts w:ascii="Times New Roman"/>
          <w:sz w:val="20"/>
        </w:rPr>
      </w:pPr>
    </w:p>
    <w:p w14:paraId="61EAB56D" w14:textId="48238A5E" w:rsidR="00415423" w:rsidRDefault="00415423">
      <w:pPr>
        <w:pStyle w:val="BodyText"/>
        <w:rPr>
          <w:rFonts w:ascii="Times New Roman"/>
          <w:sz w:val="25"/>
        </w:rPr>
      </w:pPr>
    </w:p>
    <w:p w14:paraId="12287856" w14:textId="77777777" w:rsidR="00212420" w:rsidRDefault="00212420">
      <w:pPr>
        <w:spacing w:before="100" w:line="449" w:lineRule="exact"/>
        <w:ind w:left="2729" w:right="3076"/>
        <w:jc w:val="center"/>
        <w:rPr>
          <w:rFonts w:ascii="Open Sans Extrabold"/>
          <w:b/>
          <w:color w:val="0A5694"/>
          <w:spacing w:val="-2"/>
          <w:sz w:val="38"/>
        </w:rPr>
      </w:pPr>
    </w:p>
    <w:p w14:paraId="68D428FF" w14:textId="61E3BD4F" w:rsidR="00212420" w:rsidRDefault="00212420">
      <w:pPr>
        <w:spacing w:before="100" w:line="449" w:lineRule="exact"/>
        <w:ind w:left="2729" w:right="3076"/>
        <w:jc w:val="center"/>
        <w:rPr>
          <w:rFonts w:ascii="Open Sans Extrabold"/>
          <w:b/>
          <w:color w:val="0A5694"/>
          <w:spacing w:val="-2"/>
          <w:sz w:val="38"/>
        </w:rPr>
      </w:pPr>
    </w:p>
    <w:p w14:paraId="4E94BB4E" w14:textId="3D714A2F" w:rsidR="00271C63" w:rsidRDefault="00212420" w:rsidP="00C82EB1">
      <w:pPr>
        <w:spacing w:before="100" w:line="449" w:lineRule="exact"/>
        <w:ind w:left="2729" w:right="3076"/>
        <w:jc w:val="center"/>
        <w:rPr>
          <w:rFonts w:ascii="Open Sans Semibold"/>
          <w:b/>
          <w:color w:val="0A5694"/>
          <w:sz w:val="28"/>
          <w:szCs w:val="18"/>
        </w:rPr>
      </w:pPr>
      <w:r w:rsidRPr="00212420">
        <w:rPr>
          <w:rFonts w:ascii="Open Sans Extrabold"/>
          <w:b/>
          <w:color w:val="0A5694"/>
          <w:spacing w:val="-2"/>
          <w:sz w:val="44"/>
          <w:szCs w:val="28"/>
        </w:rPr>
        <w:t xml:space="preserve">2022 Learn More </w:t>
      </w:r>
      <w:r>
        <w:rPr>
          <w:rFonts w:ascii="Open Sans Extrabold"/>
          <w:b/>
          <w:color w:val="0A5694"/>
          <w:spacing w:val="-2"/>
          <w:sz w:val="44"/>
          <w:szCs w:val="28"/>
        </w:rPr>
        <w:br/>
      </w:r>
      <w:r w:rsidRPr="00212420">
        <w:rPr>
          <w:rFonts w:ascii="Open Sans Extrabold"/>
          <w:b/>
          <w:color w:val="0A5694"/>
          <w:spacing w:val="-2"/>
          <w:sz w:val="44"/>
          <w:szCs w:val="28"/>
        </w:rPr>
        <w:t>About Your Child</w:t>
      </w:r>
      <w:r w:rsidRPr="00212420">
        <w:rPr>
          <w:rFonts w:ascii="Open Sans Extrabold"/>
          <w:b/>
          <w:color w:val="0A5694"/>
          <w:spacing w:val="-2"/>
          <w:sz w:val="44"/>
          <w:szCs w:val="28"/>
        </w:rPr>
        <w:t>’</w:t>
      </w:r>
      <w:r w:rsidRPr="00212420">
        <w:rPr>
          <w:rFonts w:ascii="Open Sans Extrabold"/>
          <w:b/>
          <w:color w:val="0A5694"/>
          <w:spacing w:val="-2"/>
          <w:sz w:val="44"/>
          <w:szCs w:val="28"/>
        </w:rPr>
        <w:t>s School</w:t>
      </w:r>
    </w:p>
    <w:p w14:paraId="00D984FD" w14:textId="7B98D9D1" w:rsidR="00415423" w:rsidRPr="00C82EB1" w:rsidRDefault="00D033B1" w:rsidP="00C82EB1">
      <w:pPr>
        <w:pBdr>
          <w:bottom w:val="single" w:sz="4" w:space="1" w:color="auto"/>
        </w:pBdr>
        <w:spacing w:line="360" w:lineRule="exact"/>
        <w:ind w:left="2736" w:right="3082"/>
        <w:jc w:val="center"/>
        <w:rPr>
          <w:rFonts w:ascii="Open Sans Extrabold"/>
          <w:bCs/>
          <w:sz w:val="44"/>
          <w:szCs w:val="28"/>
        </w:rPr>
      </w:pPr>
      <w:r>
        <w:rPr>
          <w:rFonts w:ascii="Open Sans Semibold"/>
          <w:bCs/>
          <w:color w:val="0A5694"/>
          <w:sz w:val="28"/>
          <w:szCs w:val="18"/>
        </w:rPr>
        <w:br/>
        <w:t>Parent School Ratings FAQ</w:t>
      </w:r>
    </w:p>
    <w:p w14:paraId="1D7D90C4" w14:textId="25CE6F84" w:rsidR="00415423" w:rsidRDefault="00D033B1">
      <w:pPr>
        <w:pStyle w:val="BodyText"/>
        <w:spacing w:before="8"/>
        <w:rPr>
          <w:sz w:val="26"/>
        </w:rPr>
      </w:pPr>
      <w:r>
        <w:rPr>
          <w:i/>
          <w:iCs/>
        </w:rPr>
        <w:br/>
      </w:r>
    </w:p>
    <w:p w14:paraId="75277E1A" w14:textId="4891D3B6" w:rsidR="00415423" w:rsidRDefault="00E37DA7" w:rsidP="00E37DA7">
      <w:pPr>
        <w:pStyle w:val="Heading1"/>
        <w:numPr>
          <w:ilvl w:val="0"/>
          <w:numId w:val="1"/>
        </w:numPr>
      </w:pPr>
      <w:r>
        <w:rPr>
          <w:color w:val="0A5694"/>
        </w:rPr>
        <w:t xml:space="preserve">Where can I learn more about how my child’s school and district performed? </w:t>
      </w:r>
    </w:p>
    <w:p w14:paraId="595A03EA" w14:textId="04D3001C" w:rsidR="00960761" w:rsidRPr="00960761" w:rsidRDefault="00E37DA7" w:rsidP="00E37DA7">
      <w:pPr>
        <w:pStyle w:val="BodyText"/>
        <w:spacing w:before="253"/>
        <w:ind w:left="720" w:right="1022"/>
      </w:pPr>
      <w:r w:rsidRPr="00E37DA7">
        <w:t xml:space="preserve">Visit </w:t>
      </w:r>
      <w:hyperlink r:id="rId7" w:history="1">
        <w:r w:rsidRPr="002705EE">
          <w:rPr>
            <w:rStyle w:val="Hyperlink"/>
          </w:rPr>
          <w:t>TXschools.gov</w:t>
        </w:r>
      </w:hyperlink>
      <w:r w:rsidRPr="00E37DA7">
        <w:t xml:space="preserve"> to learn about how your child’s school is preparing them for the next grade level and success after high school.</w:t>
      </w:r>
    </w:p>
    <w:p w14:paraId="5771D401" w14:textId="3F9A0BCA" w:rsidR="00DA50A7" w:rsidRDefault="00DA50A7">
      <w:pPr>
        <w:pStyle w:val="BodyText"/>
        <w:spacing w:before="113" w:line="208" w:lineRule="auto"/>
        <w:ind w:left="720" w:right="711"/>
        <w:jc w:val="both"/>
        <w:rPr>
          <w:spacing w:val="-3"/>
        </w:rPr>
      </w:pPr>
    </w:p>
    <w:p w14:paraId="40D57216" w14:textId="04B9A64F" w:rsidR="00E37DA7" w:rsidRDefault="00E37DA7" w:rsidP="00E37DA7">
      <w:pPr>
        <w:pStyle w:val="Heading1"/>
        <w:numPr>
          <w:ilvl w:val="0"/>
          <w:numId w:val="1"/>
        </w:numPr>
      </w:pPr>
      <w:r>
        <w:rPr>
          <w:color w:val="0A5694"/>
        </w:rPr>
        <w:t xml:space="preserve">Why do we have school accountability ratings? </w:t>
      </w:r>
    </w:p>
    <w:p w14:paraId="57867ADA" w14:textId="73FAF532" w:rsidR="00E37DA7" w:rsidRPr="00960761" w:rsidRDefault="00E37DA7" w:rsidP="00E37DA7">
      <w:pPr>
        <w:pStyle w:val="BodyText"/>
        <w:spacing w:before="253"/>
        <w:ind w:left="720" w:right="1022"/>
      </w:pPr>
      <w:r w:rsidRPr="00E37DA7">
        <w:t xml:space="preserve">School ratings are one of many ways to determine how well your child’s school is preparing them for the next grade and success after high school. Ratings also help us determine whether schools are serving </w:t>
      </w:r>
      <w:r w:rsidRPr="002705EE">
        <w:rPr>
          <w:i/>
          <w:iCs/>
        </w:rPr>
        <w:t>all</w:t>
      </w:r>
      <w:r w:rsidRPr="00E37DA7">
        <w:t xml:space="preserve"> students.</w:t>
      </w:r>
    </w:p>
    <w:p w14:paraId="13C327AA" w14:textId="7B9E2132" w:rsidR="00E37DA7" w:rsidRDefault="00E37DA7">
      <w:pPr>
        <w:pStyle w:val="BodyText"/>
        <w:spacing w:before="113" w:line="208" w:lineRule="auto"/>
        <w:ind w:left="720" w:right="711"/>
        <w:jc w:val="both"/>
        <w:rPr>
          <w:spacing w:val="-3"/>
        </w:rPr>
      </w:pPr>
    </w:p>
    <w:p w14:paraId="657B5CDC" w14:textId="09C52A35" w:rsidR="00E37DA7" w:rsidRDefault="00E37DA7" w:rsidP="00E37DA7">
      <w:pPr>
        <w:pStyle w:val="Heading1"/>
        <w:numPr>
          <w:ilvl w:val="0"/>
          <w:numId w:val="1"/>
        </w:numPr>
      </w:pPr>
      <w:r>
        <w:rPr>
          <w:color w:val="0A5694"/>
        </w:rPr>
        <w:t xml:space="preserve">Why are school accountability ratings important? </w:t>
      </w:r>
    </w:p>
    <w:p w14:paraId="6743A701" w14:textId="417F18C0" w:rsidR="00E37DA7" w:rsidRDefault="00E37DA7" w:rsidP="00E37DA7">
      <w:pPr>
        <w:pStyle w:val="BodyText"/>
        <w:spacing w:before="253"/>
        <w:ind w:left="720" w:right="1022"/>
      </w:pPr>
      <w:r>
        <w:t>School ratings help Texas public schools meet the educational needs of all students by providing the information they need to assess and improve their schools. Ratings provide a look into how your child’s school is performing in different areas, including</w:t>
      </w:r>
    </w:p>
    <w:p w14:paraId="296AB34C" w14:textId="1EE46250" w:rsidR="00E37DA7" w:rsidRDefault="00E37DA7" w:rsidP="00E37DA7">
      <w:pPr>
        <w:pStyle w:val="BodyText"/>
        <w:numPr>
          <w:ilvl w:val="0"/>
          <w:numId w:val="4"/>
        </w:numPr>
        <w:spacing w:before="253"/>
        <w:ind w:right="1022"/>
      </w:pPr>
      <w:r>
        <w:t xml:space="preserve">STAAR </w:t>
      </w:r>
      <w:proofErr w:type="gramStart"/>
      <w:r>
        <w:t>Performance;</w:t>
      </w:r>
      <w:proofErr w:type="gramEnd"/>
    </w:p>
    <w:p w14:paraId="7D6D2D98" w14:textId="00EFB7D3" w:rsidR="00E37DA7" w:rsidRDefault="00E37DA7" w:rsidP="00E37DA7">
      <w:pPr>
        <w:pStyle w:val="BodyText"/>
        <w:numPr>
          <w:ilvl w:val="0"/>
          <w:numId w:val="4"/>
        </w:numPr>
        <w:spacing w:before="253"/>
        <w:ind w:right="1022"/>
      </w:pPr>
      <w:r>
        <w:t xml:space="preserve">English language </w:t>
      </w:r>
      <w:proofErr w:type="gramStart"/>
      <w:r>
        <w:t>acquisition;</w:t>
      </w:r>
      <w:proofErr w:type="gramEnd"/>
    </w:p>
    <w:p w14:paraId="607B08E4" w14:textId="076BBBC0" w:rsidR="00E37DA7" w:rsidRDefault="00E37DA7" w:rsidP="00E37DA7">
      <w:pPr>
        <w:pStyle w:val="BodyText"/>
        <w:numPr>
          <w:ilvl w:val="0"/>
          <w:numId w:val="4"/>
        </w:numPr>
        <w:spacing w:before="253"/>
        <w:ind w:right="1022"/>
      </w:pPr>
      <w:r>
        <w:t>Graduation Rates; and</w:t>
      </w:r>
    </w:p>
    <w:p w14:paraId="48A65D88" w14:textId="4B0E5AAA" w:rsidR="00E37DA7" w:rsidRPr="00960761" w:rsidRDefault="00E37DA7" w:rsidP="00E37DA7">
      <w:pPr>
        <w:pStyle w:val="BodyText"/>
        <w:numPr>
          <w:ilvl w:val="0"/>
          <w:numId w:val="4"/>
        </w:numPr>
        <w:spacing w:before="253"/>
        <w:ind w:right="1022"/>
      </w:pPr>
      <w:r>
        <w:t>College, Career, and Military Readiness (CCMR).</w:t>
      </w:r>
    </w:p>
    <w:p w14:paraId="7C6C6569" w14:textId="77777777" w:rsidR="00E37DA7" w:rsidRDefault="00E37DA7">
      <w:pPr>
        <w:pStyle w:val="BodyText"/>
        <w:spacing w:before="113" w:line="208" w:lineRule="auto"/>
        <w:ind w:left="720" w:right="711"/>
        <w:jc w:val="both"/>
        <w:rPr>
          <w:spacing w:val="-3"/>
        </w:rPr>
      </w:pPr>
    </w:p>
    <w:p w14:paraId="7090A9E8" w14:textId="78D30BE2" w:rsidR="00271C63" w:rsidRDefault="00271C63">
      <w:pPr>
        <w:pStyle w:val="BodyText"/>
        <w:spacing w:before="113" w:line="208" w:lineRule="auto"/>
        <w:ind w:left="720" w:right="711"/>
        <w:jc w:val="both"/>
        <w:rPr>
          <w:spacing w:val="-3"/>
        </w:rPr>
      </w:pPr>
    </w:p>
    <w:p w14:paraId="65EC7A45" w14:textId="756DC329" w:rsidR="00E37DA7" w:rsidRDefault="00E37DA7" w:rsidP="00E37DA7">
      <w:pPr>
        <w:pStyle w:val="Heading1"/>
        <w:numPr>
          <w:ilvl w:val="0"/>
          <w:numId w:val="1"/>
        </w:numPr>
      </w:pPr>
      <w:r>
        <w:rPr>
          <w:color w:val="0A5694"/>
        </w:rPr>
        <w:t xml:space="preserve">What does the overall rating tell me about my child’s school and district? </w:t>
      </w:r>
    </w:p>
    <w:p w14:paraId="3C1B8ED2" w14:textId="30B96BF4" w:rsidR="00E37DA7" w:rsidRDefault="00E37DA7" w:rsidP="00E37DA7">
      <w:pPr>
        <w:pStyle w:val="BodyText"/>
        <w:spacing w:before="253"/>
        <w:ind w:left="720" w:right="1022"/>
      </w:pPr>
      <w:r w:rsidRPr="00E37DA7">
        <w:t>Overall ratings are calculated based on performance in three key areas. We take the higher score between how much students know (Student Achievement) or how much better students are doing than last year or than peers in similar schools (School Progress). We then consider whether performance gaps exist among different groups of students (Closing the Gaps).</w:t>
      </w:r>
    </w:p>
    <w:p w14:paraId="546F45A9" w14:textId="77777777" w:rsidR="00E37DA7" w:rsidRDefault="00E37DA7" w:rsidP="00E37DA7">
      <w:pPr>
        <w:pStyle w:val="BodyText"/>
        <w:spacing w:before="253"/>
        <w:ind w:left="720" w:right="1022"/>
      </w:pPr>
    </w:p>
    <w:p w14:paraId="00053340" w14:textId="628BC4C3" w:rsidR="00E37DA7" w:rsidRDefault="00E37DA7" w:rsidP="00E37DA7">
      <w:pPr>
        <w:pStyle w:val="BodyText"/>
        <w:spacing w:before="253"/>
        <w:ind w:left="720" w:right="1022"/>
      </w:pPr>
    </w:p>
    <w:p w14:paraId="2708549E" w14:textId="05A308B2" w:rsidR="00E37DA7" w:rsidRDefault="00E37DA7" w:rsidP="00E37DA7">
      <w:pPr>
        <w:pStyle w:val="BodyText"/>
        <w:spacing w:before="253"/>
        <w:ind w:left="720" w:right="1022"/>
      </w:pPr>
    </w:p>
    <w:p w14:paraId="104D587D" w14:textId="4AF3EC7C" w:rsidR="00E37DA7" w:rsidRDefault="001C716C" w:rsidP="00E37DA7">
      <w:pPr>
        <w:pStyle w:val="Heading1"/>
        <w:numPr>
          <w:ilvl w:val="0"/>
          <w:numId w:val="1"/>
        </w:numPr>
      </w:pPr>
      <w:r>
        <w:rPr>
          <w:color w:val="0A5694"/>
        </w:rPr>
        <w:t xml:space="preserve">Where can I learn more about the accountability system in Texas? </w:t>
      </w:r>
    </w:p>
    <w:p w14:paraId="024874E7" w14:textId="726A0336" w:rsidR="00E37DA7" w:rsidRDefault="001C716C" w:rsidP="00E37DA7">
      <w:pPr>
        <w:pStyle w:val="BodyText"/>
        <w:spacing w:before="253"/>
        <w:ind w:left="720" w:right="1022"/>
      </w:pPr>
      <w:r w:rsidRPr="001C716C">
        <w:t xml:space="preserve">Visit the </w:t>
      </w:r>
      <w:hyperlink r:id="rId8" w:history="1">
        <w:r w:rsidR="00F90B36">
          <w:rPr>
            <w:rStyle w:val="Hyperlink"/>
          </w:rPr>
          <w:t>How A</w:t>
        </w:r>
        <w:r w:rsidRPr="00B516DB">
          <w:rPr>
            <w:rStyle w:val="Hyperlink"/>
          </w:rPr>
          <w:t>ccountability Ratings Work</w:t>
        </w:r>
      </w:hyperlink>
      <w:r w:rsidRPr="001C716C">
        <w:t xml:space="preserve"> webpage on </w:t>
      </w:r>
      <w:hyperlink r:id="rId9" w:history="1">
        <w:r w:rsidRPr="002705EE">
          <w:rPr>
            <w:rStyle w:val="Hyperlink"/>
          </w:rPr>
          <w:t>TXschools.gov</w:t>
        </w:r>
      </w:hyperlink>
      <w:r w:rsidRPr="001C716C">
        <w:t>.</w:t>
      </w:r>
    </w:p>
    <w:p w14:paraId="5A91393A" w14:textId="143A8511" w:rsidR="00E37DA7" w:rsidRDefault="00E37DA7" w:rsidP="00E37DA7">
      <w:pPr>
        <w:pStyle w:val="BodyText"/>
        <w:spacing w:before="253"/>
        <w:ind w:left="720" w:right="1022"/>
      </w:pPr>
    </w:p>
    <w:p w14:paraId="56EAFB1A" w14:textId="7817F17F" w:rsidR="001C716C" w:rsidRDefault="001C716C" w:rsidP="001C716C">
      <w:pPr>
        <w:pStyle w:val="Heading1"/>
        <w:numPr>
          <w:ilvl w:val="0"/>
          <w:numId w:val="1"/>
        </w:numPr>
      </w:pPr>
      <w:r>
        <w:rPr>
          <w:color w:val="0A5694"/>
        </w:rPr>
        <w:t xml:space="preserve">Why hasn’t there been accountability ratings for the past two years? </w:t>
      </w:r>
    </w:p>
    <w:p w14:paraId="0FAFF050" w14:textId="500C4FAD" w:rsidR="001C716C" w:rsidRDefault="00B516DB" w:rsidP="001C716C">
      <w:pPr>
        <w:pStyle w:val="BodyText"/>
        <w:spacing w:before="253"/>
        <w:ind w:left="720" w:right="1022"/>
      </w:pPr>
      <w:r w:rsidRPr="00B516DB">
        <w:t xml:space="preserve">Given the impact of COVID-19, all districts and schools received a label of </w:t>
      </w:r>
      <w:r w:rsidRPr="00B516DB">
        <w:rPr>
          <w:i/>
          <w:iCs/>
        </w:rPr>
        <w:t>Not Rated: Declared State of Disaster</w:t>
      </w:r>
      <w:r w:rsidRPr="00B516DB">
        <w:t xml:space="preserve"> for their 2020 and 2021 accountability ratings.</w:t>
      </w:r>
    </w:p>
    <w:p w14:paraId="5A93A0A0" w14:textId="6C860605" w:rsidR="001C716C" w:rsidRDefault="001C716C" w:rsidP="001C716C">
      <w:pPr>
        <w:pStyle w:val="BodyText"/>
        <w:spacing w:before="253"/>
        <w:ind w:left="720" w:right="1022"/>
      </w:pPr>
    </w:p>
    <w:p w14:paraId="18B12489" w14:textId="099A1DB7" w:rsidR="001C716C" w:rsidRDefault="001C716C" w:rsidP="001C716C">
      <w:pPr>
        <w:pStyle w:val="Heading1"/>
        <w:numPr>
          <w:ilvl w:val="0"/>
          <w:numId w:val="1"/>
        </w:numPr>
      </w:pPr>
      <w:r>
        <w:rPr>
          <w:color w:val="0A5694"/>
        </w:rPr>
        <w:t xml:space="preserve">Why aren’t schools with D’s and </w:t>
      </w:r>
      <w:proofErr w:type="gramStart"/>
      <w:r>
        <w:rPr>
          <w:color w:val="0A5694"/>
        </w:rPr>
        <w:t>F’s</w:t>
      </w:r>
      <w:proofErr w:type="gramEnd"/>
      <w:r>
        <w:rPr>
          <w:color w:val="0A5694"/>
        </w:rPr>
        <w:t xml:space="preserve"> </w:t>
      </w:r>
      <w:r w:rsidR="00C034BB">
        <w:rPr>
          <w:color w:val="0A5694"/>
        </w:rPr>
        <w:t>rated</w:t>
      </w:r>
      <w:r>
        <w:rPr>
          <w:color w:val="0A5694"/>
        </w:rPr>
        <w:t xml:space="preserve"> this year? </w:t>
      </w:r>
    </w:p>
    <w:p w14:paraId="0C5B199A" w14:textId="76459FC3" w:rsidR="001C716C" w:rsidRDefault="001C716C" w:rsidP="001C716C">
      <w:pPr>
        <w:pStyle w:val="BodyText"/>
        <w:spacing w:before="253"/>
        <w:ind w:left="720" w:right="1022"/>
      </w:pPr>
      <w:r w:rsidRPr="001C716C">
        <w:t>Senate Bill (SB) 1365, 87th legislative session (2021), requires a Not Rated label for 2022 unless the district or campus earns an A, B, or C.</w:t>
      </w:r>
      <w:r>
        <w:br/>
      </w:r>
    </w:p>
    <w:tbl>
      <w:tblPr>
        <w:tblStyle w:val="GridTable2-Accent1"/>
        <w:tblW w:w="0" w:type="auto"/>
        <w:tblInd w:w="612" w:type="dxa"/>
        <w:tblLayout w:type="fixed"/>
        <w:tblLook w:val="04A0" w:firstRow="1" w:lastRow="0" w:firstColumn="1" w:lastColumn="0" w:noHBand="0" w:noVBand="1"/>
      </w:tblPr>
      <w:tblGrid>
        <w:gridCol w:w="3540"/>
        <w:gridCol w:w="3540"/>
      </w:tblGrid>
      <w:tr w:rsidR="00F777C4" w:rsidRPr="0042690F" w14:paraId="2C05CCD6" w14:textId="77777777" w:rsidTr="00F01981">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7080" w:type="dxa"/>
            <w:gridSpan w:val="2"/>
          </w:tcPr>
          <w:p w14:paraId="31D0A2E4" w14:textId="1769798B" w:rsidR="00F777C4" w:rsidRPr="0042690F" w:rsidRDefault="00F777C4" w:rsidP="001C716C">
            <w:pPr>
              <w:spacing w:line="257" w:lineRule="auto"/>
              <w:jc w:val="center"/>
              <w:rPr>
                <w:sz w:val="23"/>
                <w:szCs w:val="23"/>
              </w:rPr>
            </w:pPr>
            <w:r w:rsidRPr="0042690F">
              <w:rPr>
                <w:rFonts w:ascii="Calibri" w:eastAsia="Calibri" w:hAnsi="Calibri" w:cs="Calibri"/>
                <w:sz w:val="23"/>
                <w:szCs w:val="23"/>
              </w:rPr>
              <w:t>Rating Label Cut Points</w:t>
            </w:r>
          </w:p>
        </w:tc>
      </w:tr>
      <w:tr w:rsidR="001C716C" w:rsidRPr="0042690F" w14:paraId="61771B02" w14:textId="77777777" w:rsidTr="001C716C">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540" w:type="dxa"/>
          </w:tcPr>
          <w:p w14:paraId="75900212" w14:textId="77777777" w:rsidR="001C716C" w:rsidRPr="0042690F" w:rsidRDefault="001C716C" w:rsidP="001C716C">
            <w:pPr>
              <w:spacing w:line="257" w:lineRule="auto"/>
              <w:jc w:val="center"/>
              <w:rPr>
                <w:sz w:val="23"/>
                <w:szCs w:val="23"/>
              </w:rPr>
            </w:pPr>
            <w:r w:rsidRPr="0042690F">
              <w:rPr>
                <w:rFonts w:ascii="Calibri" w:eastAsia="Calibri" w:hAnsi="Calibri" w:cs="Calibri"/>
                <w:sz w:val="23"/>
                <w:szCs w:val="23"/>
                <w:u w:val="single"/>
              </w:rPr>
              <w:t>Rating Label</w:t>
            </w:r>
          </w:p>
        </w:tc>
        <w:tc>
          <w:tcPr>
            <w:tcW w:w="3540" w:type="dxa"/>
          </w:tcPr>
          <w:p w14:paraId="30AC6A4F" w14:textId="77777777" w:rsidR="001C716C" w:rsidRPr="0042690F" w:rsidRDefault="001C716C" w:rsidP="001C716C">
            <w:pPr>
              <w:spacing w:line="257" w:lineRule="auto"/>
              <w:jc w:val="center"/>
              <w:cnfStyle w:val="000000100000" w:firstRow="0" w:lastRow="0" w:firstColumn="0" w:lastColumn="0" w:oddVBand="0" w:evenVBand="0" w:oddHBand="1" w:evenHBand="0" w:firstRowFirstColumn="0" w:firstRowLastColumn="0" w:lastRowFirstColumn="0" w:lastRowLastColumn="0"/>
              <w:rPr>
                <w:sz w:val="23"/>
                <w:szCs w:val="23"/>
              </w:rPr>
            </w:pPr>
            <w:r w:rsidRPr="0042690F">
              <w:rPr>
                <w:rFonts w:ascii="Calibri" w:eastAsia="Calibri" w:hAnsi="Calibri" w:cs="Calibri"/>
                <w:sz w:val="23"/>
                <w:szCs w:val="23"/>
                <w:u w:val="single"/>
              </w:rPr>
              <w:t>Scaled Score</w:t>
            </w:r>
          </w:p>
        </w:tc>
      </w:tr>
      <w:tr w:rsidR="001C716C" w:rsidRPr="0042690F" w14:paraId="7120A8A0" w14:textId="77777777" w:rsidTr="001C716C">
        <w:trPr>
          <w:trHeight w:val="15"/>
        </w:trPr>
        <w:tc>
          <w:tcPr>
            <w:cnfStyle w:val="001000000000" w:firstRow="0" w:lastRow="0" w:firstColumn="1" w:lastColumn="0" w:oddVBand="0" w:evenVBand="0" w:oddHBand="0" w:evenHBand="0" w:firstRowFirstColumn="0" w:firstRowLastColumn="0" w:lastRowFirstColumn="0" w:lastRowLastColumn="0"/>
            <w:tcW w:w="3540" w:type="dxa"/>
          </w:tcPr>
          <w:p w14:paraId="3154126A" w14:textId="77777777" w:rsidR="001C716C" w:rsidRPr="0042690F" w:rsidRDefault="001C716C" w:rsidP="001C716C">
            <w:pPr>
              <w:spacing w:line="257" w:lineRule="auto"/>
              <w:jc w:val="center"/>
              <w:rPr>
                <w:sz w:val="23"/>
                <w:szCs w:val="23"/>
              </w:rPr>
            </w:pPr>
            <w:r w:rsidRPr="0042690F">
              <w:rPr>
                <w:rFonts w:ascii="Calibri" w:eastAsia="Calibri" w:hAnsi="Calibri" w:cs="Calibri"/>
                <w:i/>
                <w:iCs/>
                <w:sz w:val="23"/>
                <w:szCs w:val="23"/>
              </w:rPr>
              <w:t>A</w:t>
            </w:r>
          </w:p>
        </w:tc>
        <w:tc>
          <w:tcPr>
            <w:tcW w:w="3540" w:type="dxa"/>
          </w:tcPr>
          <w:p w14:paraId="01533B90" w14:textId="77777777" w:rsidR="001C716C" w:rsidRPr="0042690F" w:rsidRDefault="001C716C" w:rsidP="001C716C">
            <w:pPr>
              <w:spacing w:line="257" w:lineRule="auto"/>
              <w:jc w:val="center"/>
              <w:cnfStyle w:val="000000000000" w:firstRow="0" w:lastRow="0" w:firstColumn="0" w:lastColumn="0" w:oddVBand="0" w:evenVBand="0" w:oddHBand="0" w:evenHBand="0" w:firstRowFirstColumn="0" w:firstRowLastColumn="0" w:lastRowFirstColumn="0" w:lastRowLastColumn="0"/>
              <w:rPr>
                <w:sz w:val="23"/>
                <w:szCs w:val="23"/>
              </w:rPr>
            </w:pPr>
            <w:r w:rsidRPr="0042690F">
              <w:rPr>
                <w:rFonts w:ascii="Calibri" w:eastAsia="Calibri" w:hAnsi="Calibri" w:cs="Calibri"/>
                <w:sz w:val="23"/>
                <w:szCs w:val="23"/>
              </w:rPr>
              <w:t>scaled score 90–100</w:t>
            </w:r>
          </w:p>
        </w:tc>
      </w:tr>
      <w:tr w:rsidR="001C716C" w:rsidRPr="0042690F" w14:paraId="4D82F32D" w14:textId="77777777" w:rsidTr="001C716C">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540" w:type="dxa"/>
          </w:tcPr>
          <w:p w14:paraId="0CF1ED80" w14:textId="77777777" w:rsidR="001C716C" w:rsidRPr="0042690F" w:rsidRDefault="001C716C" w:rsidP="001C716C">
            <w:pPr>
              <w:spacing w:line="257" w:lineRule="auto"/>
              <w:jc w:val="center"/>
              <w:rPr>
                <w:sz w:val="23"/>
                <w:szCs w:val="23"/>
              </w:rPr>
            </w:pPr>
            <w:r w:rsidRPr="0042690F">
              <w:rPr>
                <w:rFonts w:ascii="Calibri" w:eastAsia="Calibri" w:hAnsi="Calibri" w:cs="Calibri"/>
                <w:i/>
                <w:iCs/>
                <w:sz w:val="23"/>
                <w:szCs w:val="23"/>
              </w:rPr>
              <w:t>B</w:t>
            </w:r>
          </w:p>
        </w:tc>
        <w:tc>
          <w:tcPr>
            <w:tcW w:w="3540" w:type="dxa"/>
          </w:tcPr>
          <w:p w14:paraId="383111C1" w14:textId="77777777" w:rsidR="001C716C" w:rsidRPr="0042690F" w:rsidRDefault="001C716C" w:rsidP="001C716C">
            <w:pPr>
              <w:spacing w:line="257" w:lineRule="auto"/>
              <w:jc w:val="center"/>
              <w:cnfStyle w:val="000000100000" w:firstRow="0" w:lastRow="0" w:firstColumn="0" w:lastColumn="0" w:oddVBand="0" w:evenVBand="0" w:oddHBand="1" w:evenHBand="0" w:firstRowFirstColumn="0" w:firstRowLastColumn="0" w:lastRowFirstColumn="0" w:lastRowLastColumn="0"/>
              <w:rPr>
                <w:sz w:val="23"/>
                <w:szCs w:val="23"/>
              </w:rPr>
            </w:pPr>
            <w:r w:rsidRPr="0042690F">
              <w:rPr>
                <w:rFonts w:ascii="Calibri" w:eastAsia="Calibri" w:hAnsi="Calibri" w:cs="Calibri"/>
                <w:sz w:val="23"/>
                <w:szCs w:val="23"/>
              </w:rPr>
              <w:t>scaled score 80–89</w:t>
            </w:r>
          </w:p>
        </w:tc>
      </w:tr>
      <w:tr w:rsidR="001C716C" w:rsidRPr="0042690F" w14:paraId="608B8AF9" w14:textId="77777777" w:rsidTr="001C716C">
        <w:trPr>
          <w:trHeight w:val="15"/>
        </w:trPr>
        <w:tc>
          <w:tcPr>
            <w:cnfStyle w:val="001000000000" w:firstRow="0" w:lastRow="0" w:firstColumn="1" w:lastColumn="0" w:oddVBand="0" w:evenVBand="0" w:oddHBand="0" w:evenHBand="0" w:firstRowFirstColumn="0" w:firstRowLastColumn="0" w:lastRowFirstColumn="0" w:lastRowLastColumn="0"/>
            <w:tcW w:w="3540" w:type="dxa"/>
          </w:tcPr>
          <w:p w14:paraId="33B7EBED" w14:textId="77777777" w:rsidR="001C716C" w:rsidRPr="0042690F" w:rsidRDefault="001C716C" w:rsidP="001C716C">
            <w:pPr>
              <w:spacing w:line="257" w:lineRule="auto"/>
              <w:jc w:val="center"/>
              <w:rPr>
                <w:sz w:val="23"/>
                <w:szCs w:val="23"/>
              </w:rPr>
            </w:pPr>
            <w:r w:rsidRPr="0042690F">
              <w:rPr>
                <w:rFonts w:ascii="Calibri" w:eastAsia="Calibri" w:hAnsi="Calibri" w:cs="Calibri"/>
                <w:i/>
                <w:iCs/>
                <w:sz w:val="23"/>
                <w:szCs w:val="23"/>
              </w:rPr>
              <w:t>C</w:t>
            </w:r>
          </w:p>
        </w:tc>
        <w:tc>
          <w:tcPr>
            <w:tcW w:w="3540" w:type="dxa"/>
          </w:tcPr>
          <w:p w14:paraId="31E2B020" w14:textId="77777777" w:rsidR="001C716C" w:rsidRPr="0042690F" w:rsidRDefault="001C716C" w:rsidP="001C716C">
            <w:pPr>
              <w:spacing w:line="257" w:lineRule="auto"/>
              <w:jc w:val="center"/>
              <w:cnfStyle w:val="000000000000" w:firstRow="0" w:lastRow="0" w:firstColumn="0" w:lastColumn="0" w:oddVBand="0" w:evenVBand="0" w:oddHBand="0" w:evenHBand="0" w:firstRowFirstColumn="0" w:firstRowLastColumn="0" w:lastRowFirstColumn="0" w:lastRowLastColumn="0"/>
              <w:rPr>
                <w:sz w:val="23"/>
                <w:szCs w:val="23"/>
              </w:rPr>
            </w:pPr>
            <w:r w:rsidRPr="0042690F">
              <w:rPr>
                <w:rFonts w:ascii="Calibri" w:eastAsia="Calibri" w:hAnsi="Calibri" w:cs="Calibri"/>
                <w:sz w:val="23"/>
                <w:szCs w:val="23"/>
              </w:rPr>
              <w:t>scaled score 70–79</w:t>
            </w:r>
          </w:p>
        </w:tc>
      </w:tr>
      <w:tr w:rsidR="001C716C" w:rsidRPr="0042690F" w14:paraId="3D05428A" w14:textId="77777777" w:rsidTr="001C716C">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540" w:type="dxa"/>
          </w:tcPr>
          <w:p w14:paraId="645F5A02" w14:textId="77777777" w:rsidR="001C716C" w:rsidRPr="0042690F" w:rsidRDefault="001C716C" w:rsidP="001C716C">
            <w:pPr>
              <w:spacing w:line="257" w:lineRule="auto"/>
              <w:jc w:val="center"/>
              <w:rPr>
                <w:sz w:val="23"/>
                <w:szCs w:val="23"/>
              </w:rPr>
            </w:pPr>
            <w:r w:rsidRPr="0042690F">
              <w:rPr>
                <w:rFonts w:ascii="Calibri" w:eastAsia="Calibri" w:hAnsi="Calibri" w:cs="Calibri"/>
                <w:i/>
                <w:iCs/>
                <w:sz w:val="23"/>
                <w:szCs w:val="23"/>
              </w:rPr>
              <w:t>Not Rated: Senate Bill 1365</w:t>
            </w:r>
          </w:p>
        </w:tc>
        <w:tc>
          <w:tcPr>
            <w:tcW w:w="3540" w:type="dxa"/>
          </w:tcPr>
          <w:p w14:paraId="390CD99E" w14:textId="77777777" w:rsidR="001C716C" w:rsidRPr="0042690F" w:rsidRDefault="001C716C" w:rsidP="001C716C">
            <w:pPr>
              <w:spacing w:line="257" w:lineRule="auto"/>
              <w:jc w:val="center"/>
              <w:cnfStyle w:val="000000100000" w:firstRow="0" w:lastRow="0" w:firstColumn="0" w:lastColumn="0" w:oddVBand="0" w:evenVBand="0" w:oddHBand="1" w:evenHBand="0" w:firstRowFirstColumn="0" w:firstRowLastColumn="0" w:lastRowFirstColumn="0" w:lastRowLastColumn="0"/>
              <w:rPr>
                <w:sz w:val="23"/>
                <w:szCs w:val="23"/>
              </w:rPr>
            </w:pPr>
            <w:r w:rsidRPr="0042690F">
              <w:rPr>
                <w:rFonts w:ascii="Calibri" w:eastAsia="Calibri" w:hAnsi="Calibri" w:cs="Calibri"/>
                <w:sz w:val="23"/>
                <w:szCs w:val="23"/>
              </w:rPr>
              <w:t>scaled score ≤69</w:t>
            </w:r>
          </w:p>
        </w:tc>
      </w:tr>
    </w:tbl>
    <w:p w14:paraId="782E4303" w14:textId="77777777" w:rsidR="001C716C" w:rsidRDefault="001C716C" w:rsidP="001C716C">
      <w:pPr>
        <w:pStyle w:val="BodyText"/>
        <w:spacing w:before="253"/>
        <w:ind w:left="720" w:right="1022"/>
      </w:pPr>
    </w:p>
    <w:p w14:paraId="02F637F8" w14:textId="1CD2B344" w:rsidR="001C716C" w:rsidRDefault="001C716C" w:rsidP="001C716C">
      <w:pPr>
        <w:pStyle w:val="Heading1"/>
        <w:numPr>
          <w:ilvl w:val="0"/>
          <w:numId w:val="1"/>
        </w:numPr>
      </w:pPr>
      <w:r>
        <w:rPr>
          <w:color w:val="0A5694"/>
        </w:rPr>
        <w:t xml:space="preserve">I’m moving. How can I find the best school for my child? </w:t>
      </w:r>
    </w:p>
    <w:p w14:paraId="6CA1DD3B" w14:textId="4ACA0DF0" w:rsidR="001C716C" w:rsidRDefault="001C716C" w:rsidP="001C716C">
      <w:pPr>
        <w:pStyle w:val="BodyText"/>
        <w:spacing w:before="253"/>
        <w:ind w:left="720" w:right="1022"/>
      </w:pPr>
      <w:r w:rsidRPr="001C716C">
        <w:t xml:space="preserve">To find the best school for your child, enter your address, city, or zip code in the </w:t>
      </w:r>
      <w:hyperlink r:id="rId10" w:history="1">
        <w:r w:rsidRPr="00B516DB">
          <w:rPr>
            <w:rStyle w:val="Hyperlink"/>
          </w:rPr>
          <w:t>School Finder</w:t>
        </w:r>
      </w:hyperlink>
      <w:r w:rsidRPr="001C716C">
        <w:t xml:space="preserve"> on </w:t>
      </w:r>
      <w:hyperlink r:id="rId11" w:history="1">
        <w:r w:rsidRPr="002705EE">
          <w:rPr>
            <w:rStyle w:val="Hyperlink"/>
          </w:rPr>
          <w:t>TXschools.gov</w:t>
        </w:r>
      </w:hyperlink>
      <w:r w:rsidRPr="001C716C">
        <w:t>. You can also use advanced filtering features to narrow down schools by rating, type, offerings, designations, and more.</w:t>
      </w:r>
    </w:p>
    <w:p w14:paraId="268962CE" w14:textId="77777777" w:rsidR="001C716C" w:rsidRDefault="001C716C" w:rsidP="001C716C">
      <w:pPr>
        <w:pStyle w:val="BodyText"/>
        <w:spacing w:before="253"/>
        <w:ind w:right="1022"/>
      </w:pPr>
    </w:p>
    <w:p w14:paraId="23D9D50A" w14:textId="4686A307" w:rsidR="001C716C" w:rsidRDefault="00800CC5" w:rsidP="001C716C">
      <w:pPr>
        <w:pStyle w:val="Heading1"/>
        <w:numPr>
          <w:ilvl w:val="0"/>
          <w:numId w:val="1"/>
        </w:numPr>
      </w:pPr>
      <w:r>
        <w:rPr>
          <w:color w:val="0A5694"/>
        </w:rPr>
        <w:t xml:space="preserve">Where can I find more parent resources to support my child? </w:t>
      </w:r>
    </w:p>
    <w:p w14:paraId="76CE9455" w14:textId="52FBA161" w:rsidR="001C716C" w:rsidRDefault="00800CC5" w:rsidP="001C716C">
      <w:pPr>
        <w:pStyle w:val="BodyText"/>
        <w:spacing w:before="253"/>
        <w:ind w:left="720" w:right="1022"/>
      </w:pPr>
      <w:r w:rsidRPr="00800CC5">
        <w:t xml:space="preserve">Visit the </w:t>
      </w:r>
      <w:hyperlink r:id="rId12" w:history="1">
        <w:r w:rsidRPr="002705EE">
          <w:rPr>
            <w:rStyle w:val="Hyperlink"/>
          </w:rPr>
          <w:t>Parent Resources</w:t>
        </w:r>
      </w:hyperlink>
      <w:r w:rsidRPr="00800CC5">
        <w:t xml:space="preserve"> page on </w:t>
      </w:r>
      <w:hyperlink r:id="rId13" w:history="1">
        <w:r w:rsidRPr="002705EE">
          <w:rPr>
            <w:rStyle w:val="Hyperlink"/>
          </w:rPr>
          <w:t>TXschools.gov</w:t>
        </w:r>
      </w:hyperlink>
      <w:r w:rsidRPr="00800CC5">
        <w:t>.</w:t>
      </w:r>
    </w:p>
    <w:p w14:paraId="54CBD9A5" w14:textId="2B698328" w:rsidR="00800CC5" w:rsidRDefault="00800CC5" w:rsidP="001C716C">
      <w:pPr>
        <w:pStyle w:val="BodyText"/>
        <w:spacing w:before="253"/>
        <w:ind w:left="720" w:right="1022"/>
      </w:pPr>
    </w:p>
    <w:p w14:paraId="54B373DD" w14:textId="4BD5DD31" w:rsidR="00800CC5" w:rsidRDefault="00800CC5" w:rsidP="00A45205">
      <w:pPr>
        <w:pStyle w:val="Heading1"/>
        <w:numPr>
          <w:ilvl w:val="0"/>
          <w:numId w:val="1"/>
        </w:numPr>
        <w:ind w:hanging="540"/>
      </w:pPr>
      <w:r>
        <w:rPr>
          <w:color w:val="0A5694"/>
        </w:rPr>
        <w:t xml:space="preserve">How do I compare my child’s school to similar schools? </w:t>
      </w:r>
    </w:p>
    <w:p w14:paraId="0370D53B" w14:textId="4530AE84" w:rsidR="00800CC5" w:rsidRDefault="00800CC5" w:rsidP="00800CC5">
      <w:pPr>
        <w:pStyle w:val="BodyText"/>
        <w:spacing w:before="253"/>
        <w:ind w:left="720" w:right="1022"/>
      </w:pPr>
      <w:r w:rsidRPr="00800CC5">
        <w:t xml:space="preserve">Visit the </w:t>
      </w:r>
      <w:hyperlink r:id="rId14" w:history="1">
        <w:r w:rsidRPr="00B516DB">
          <w:rPr>
            <w:rStyle w:val="Hyperlink"/>
          </w:rPr>
          <w:t>School Comparison Tool</w:t>
        </w:r>
      </w:hyperlink>
      <w:r w:rsidRPr="00800CC5">
        <w:t xml:space="preserve"> on </w:t>
      </w:r>
      <w:hyperlink r:id="rId15" w:history="1">
        <w:r w:rsidRPr="002705EE">
          <w:rPr>
            <w:rStyle w:val="Hyperlink"/>
          </w:rPr>
          <w:t>TXschools.gov</w:t>
        </w:r>
      </w:hyperlink>
      <w:r w:rsidRPr="00800CC5">
        <w:t>.</w:t>
      </w:r>
    </w:p>
    <w:p w14:paraId="34A8817D" w14:textId="77777777" w:rsidR="001C716C" w:rsidRDefault="001C716C" w:rsidP="00800CC5">
      <w:pPr>
        <w:pStyle w:val="BodyText"/>
        <w:spacing w:before="113" w:line="208" w:lineRule="auto"/>
        <w:ind w:right="711"/>
        <w:jc w:val="both"/>
        <w:rPr>
          <w:spacing w:val="-3"/>
        </w:rPr>
      </w:pPr>
    </w:p>
    <w:p w14:paraId="20F9184D" w14:textId="77777777" w:rsidR="001C716C" w:rsidRDefault="001C716C" w:rsidP="00C82EB1">
      <w:pPr>
        <w:pStyle w:val="BodyText"/>
        <w:spacing w:before="113" w:line="208" w:lineRule="auto"/>
        <w:ind w:left="720" w:right="711"/>
        <w:jc w:val="both"/>
        <w:rPr>
          <w:spacing w:val="-3"/>
        </w:rPr>
      </w:pPr>
    </w:p>
    <w:p w14:paraId="3E76EC40" w14:textId="77777777" w:rsidR="001C716C" w:rsidRDefault="001C716C" w:rsidP="00C82EB1">
      <w:pPr>
        <w:pStyle w:val="BodyText"/>
        <w:spacing w:before="113" w:line="208" w:lineRule="auto"/>
        <w:ind w:left="720" w:right="711"/>
        <w:jc w:val="both"/>
        <w:rPr>
          <w:spacing w:val="-3"/>
        </w:rPr>
      </w:pPr>
    </w:p>
    <w:p w14:paraId="79037806" w14:textId="77777777" w:rsidR="00800CC5" w:rsidRDefault="00800CC5" w:rsidP="00800CC5">
      <w:pPr>
        <w:pStyle w:val="BodyText"/>
        <w:spacing w:before="113" w:line="208" w:lineRule="auto"/>
        <w:ind w:right="711"/>
        <w:jc w:val="both"/>
        <w:rPr>
          <w:spacing w:val="-3"/>
        </w:rPr>
      </w:pPr>
    </w:p>
    <w:p w14:paraId="3D6011A7" w14:textId="53E7A721" w:rsidR="00DA50A7" w:rsidRDefault="00C82EB1" w:rsidP="00800CC5">
      <w:pPr>
        <w:pStyle w:val="BodyText"/>
        <w:spacing w:before="113" w:line="208" w:lineRule="auto"/>
        <w:ind w:right="711"/>
        <w:jc w:val="both"/>
        <w:rPr>
          <w:spacing w:val="-3"/>
        </w:rPr>
      </w:pPr>
      <w:r>
        <w:rPr>
          <w:spacing w:val="-3"/>
        </w:rPr>
        <w:br/>
      </w:r>
    </w:p>
    <w:p w14:paraId="64EBD113" w14:textId="78E26167" w:rsidR="00DA50A7" w:rsidRDefault="0017167C" w:rsidP="00960761">
      <w:pPr>
        <w:pStyle w:val="BodyText"/>
        <w:spacing w:before="113" w:line="208" w:lineRule="auto"/>
        <w:ind w:right="711"/>
        <w:jc w:val="both"/>
      </w:pPr>
      <w:r w:rsidRPr="006E2B63">
        <w:rPr>
          <w:rFonts w:ascii="Times New Roman"/>
          <w:noProof/>
          <w:sz w:val="25"/>
        </w:rPr>
        <mc:AlternateContent>
          <mc:Choice Requires="wps">
            <w:drawing>
              <wp:anchor distT="0" distB="0" distL="114300" distR="114300" simplePos="0" relativeHeight="251660800" behindDoc="1" locked="0" layoutInCell="1" allowOverlap="1" wp14:anchorId="6ED74F86" wp14:editId="1FBFA73A">
                <wp:simplePos x="0" y="0"/>
                <wp:positionH relativeFrom="margin">
                  <wp:align>left</wp:align>
                </wp:positionH>
                <wp:positionV relativeFrom="paragraph">
                  <wp:posOffset>292735</wp:posOffset>
                </wp:positionV>
                <wp:extent cx="12191999" cy="583565"/>
                <wp:effectExtent l="0" t="0" r="635" b="6985"/>
                <wp:wrapNone/>
                <wp:docPr id="10" name="objec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1999" cy="583565"/>
                        </a:xfrm>
                        <a:custGeom>
                          <a:avLst/>
                          <a:gdLst/>
                          <a:ahLst/>
                          <a:cxnLst/>
                          <a:rect l="l" t="t" r="r" b="b"/>
                          <a:pathLst>
                            <a:path w="20104100" h="419100">
                              <a:moveTo>
                                <a:pt x="20104100" y="0"/>
                              </a:moveTo>
                              <a:lnTo>
                                <a:pt x="0" y="0"/>
                              </a:lnTo>
                              <a:lnTo>
                                <a:pt x="0" y="293370"/>
                              </a:lnTo>
                              <a:lnTo>
                                <a:pt x="4102" y="293370"/>
                              </a:lnTo>
                              <a:lnTo>
                                <a:pt x="4102" y="381000"/>
                              </a:lnTo>
                              <a:lnTo>
                                <a:pt x="0" y="381000"/>
                              </a:lnTo>
                              <a:lnTo>
                                <a:pt x="0" y="419087"/>
                              </a:lnTo>
                              <a:lnTo>
                                <a:pt x="20104100" y="419087"/>
                              </a:lnTo>
                              <a:lnTo>
                                <a:pt x="20104100" y="381000"/>
                              </a:lnTo>
                              <a:lnTo>
                                <a:pt x="20104100" y="293370"/>
                              </a:lnTo>
                              <a:lnTo>
                                <a:pt x="20104100" y="0"/>
                              </a:lnTo>
                              <a:close/>
                            </a:path>
                          </a:pathLst>
                        </a:custGeom>
                        <a:gradFill flip="none" rotWithShape="1">
                          <a:gsLst>
                            <a:gs pos="0">
                              <a:srgbClr val="704280">
                                <a:shade val="30000"/>
                                <a:satMod val="115000"/>
                              </a:srgbClr>
                            </a:gs>
                            <a:gs pos="50000">
                              <a:srgbClr val="704280">
                                <a:shade val="67500"/>
                                <a:satMod val="115000"/>
                              </a:srgbClr>
                            </a:gs>
                            <a:gs pos="100000">
                              <a:srgbClr val="704280">
                                <a:shade val="100000"/>
                                <a:satMod val="115000"/>
                              </a:srgbClr>
                            </a:gs>
                          </a:gsLst>
                          <a:path path="circle">
                            <a:fillToRect l="100000" t="100000"/>
                          </a:path>
                          <a:tileRect r="-100000" b="-100000"/>
                        </a:gradFill>
                      </wps:spPr>
                      <wps:txbx>
                        <w:txbxContent>
                          <w:p w14:paraId="101F7208" w14:textId="2FB86F87" w:rsidR="004529A3" w:rsidRPr="004529A3" w:rsidRDefault="004529A3" w:rsidP="004529A3">
                            <w:pPr>
                              <w:spacing w:before="175"/>
                              <w:ind w:left="2985" w:right="3076"/>
                              <w:jc w:val="both"/>
                              <w:rPr>
                                <w:rFonts w:ascii="Calibri Light" w:hAnsi="Calibri Light" w:cs="Calibri Light"/>
                                <w:color w:val="EEECE1" w:themeColor="background2"/>
                                <w:sz w:val="20"/>
                                <w:szCs w:val="18"/>
                              </w:rPr>
                            </w:pPr>
                            <w:r>
                              <w:rPr>
                                <w:rFonts w:ascii="Calibri Light" w:hAnsi="Calibri Light" w:cs="Calibri Light"/>
                                <w:color w:val="EEECE1" w:themeColor="background2"/>
                                <w:sz w:val="20"/>
                                <w:szCs w:val="18"/>
                              </w:rPr>
                              <w:t xml:space="preserve">                 </w:t>
                            </w:r>
                            <w:r w:rsidRPr="004529A3">
                              <w:rPr>
                                <w:rFonts w:ascii="Calibri Light" w:hAnsi="Calibri Light" w:cs="Calibri Light"/>
                                <w:color w:val="EEECE1" w:themeColor="background2"/>
                                <w:sz w:val="20"/>
                                <w:szCs w:val="18"/>
                              </w:rPr>
                              <w:t>Copyright</w:t>
                            </w:r>
                            <w:r w:rsidRPr="004529A3">
                              <w:rPr>
                                <w:rFonts w:ascii="Calibri Light" w:hAnsi="Calibri Light" w:cs="Calibri Light"/>
                                <w:color w:val="EEECE1" w:themeColor="background2"/>
                                <w:spacing w:val="-11"/>
                                <w:sz w:val="20"/>
                                <w:szCs w:val="18"/>
                              </w:rPr>
                              <w:t xml:space="preserve"> </w:t>
                            </w:r>
                            <w:r w:rsidRPr="004529A3">
                              <w:rPr>
                                <w:rFonts w:ascii="Calibri Light" w:hAnsi="Calibri Light" w:cs="Calibri Light"/>
                                <w:color w:val="EEECE1" w:themeColor="background2"/>
                                <w:sz w:val="20"/>
                                <w:szCs w:val="18"/>
                              </w:rPr>
                              <w:t>©</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2022.</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Texas</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Education</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Agency.</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All</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Rights</w:t>
                            </w:r>
                            <w:r w:rsidRPr="004529A3">
                              <w:rPr>
                                <w:rFonts w:ascii="Calibri Light" w:hAnsi="Calibri Light" w:cs="Calibri Light"/>
                                <w:color w:val="EEECE1" w:themeColor="background2"/>
                                <w:spacing w:val="-8"/>
                                <w:sz w:val="20"/>
                                <w:szCs w:val="18"/>
                              </w:rPr>
                              <w:t xml:space="preserve"> </w:t>
                            </w:r>
                            <w:r w:rsidRPr="004529A3">
                              <w:rPr>
                                <w:rFonts w:ascii="Calibri Light" w:hAnsi="Calibri Light" w:cs="Calibri Light"/>
                                <w:color w:val="EEECE1" w:themeColor="background2"/>
                                <w:spacing w:val="-2"/>
                                <w:sz w:val="20"/>
                                <w:szCs w:val="18"/>
                              </w:rPr>
                              <w:t>Reserved.</w:t>
                            </w:r>
                          </w:p>
                          <w:p w14:paraId="14EA82CD" w14:textId="02054017" w:rsidR="0017167C" w:rsidRDefault="0017167C" w:rsidP="0017167C">
                            <w:pPr>
                              <w:jc w:val="center"/>
                            </w:pPr>
                          </w:p>
                        </w:txbxContent>
                      </wps:txbx>
                      <wps:bodyPr wrap="square" lIns="0" tIns="0" rIns="0" bIns="0" rtlCol="0"/>
                    </wps:wsp>
                  </a:graphicData>
                </a:graphic>
                <wp14:sizeRelV relativeFrom="margin">
                  <wp14:pctHeight>0</wp14:pctHeight>
                </wp14:sizeRelV>
              </wp:anchor>
            </w:drawing>
          </mc:Choice>
          <mc:Fallback>
            <w:pict>
              <v:shape w14:anchorId="6ED74F86" id="object 5" o:spid="_x0000_s1026" alt="&quot;&quot;" style="position:absolute;left:0;text-align:left;margin-left:0;margin-top:23.05pt;width:960pt;height:45.95pt;z-index:-251655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2010410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" adj="-11796480,,5400" path="m20104100,l,,,293370r4102,l4102,381000r-4102,l,419087r20104100,l20104100,381000r,-87630l20104100,xe" fillcolor="#40204b" stroked="f">
                <v:fill color2="#723d85" rotate="t" focusposition="1,1" focussize="" colors="0 #40204b;.5 #5f326e;1 #723d85" focus="100%" type="gradientRadial"/>
                <v:stroke joinstyle="miter"/>
                <v:formulas/>
                <v:path arrowok="t" o:connecttype="custom" textboxrect="0,0,20104100,419100"/>
                <v:textbox inset="0,0,0,0">
                  <w:txbxContent>
                    <w:p w14:paraId="101F7208" w14:textId="2FB86F87" w:rsidR="004529A3" w:rsidRPr="004529A3" w:rsidRDefault="004529A3" w:rsidP="004529A3">
                      <w:pPr>
                        <w:spacing w:before="175"/>
                        <w:ind w:left="2985" w:right="3076"/>
                        <w:jc w:val="both"/>
                        <w:rPr>
                          <w:rFonts w:ascii="Calibri Light" w:hAnsi="Calibri Light" w:cs="Calibri Light"/>
                          <w:color w:val="EEECE1" w:themeColor="background2"/>
                          <w:sz w:val="20"/>
                          <w:szCs w:val="18"/>
                        </w:rPr>
                      </w:pPr>
                      <w:r>
                        <w:rPr>
                          <w:rFonts w:ascii="Calibri Light" w:hAnsi="Calibri Light" w:cs="Calibri Light"/>
                          <w:color w:val="EEECE1" w:themeColor="background2"/>
                          <w:sz w:val="20"/>
                          <w:szCs w:val="18"/>
                        </w:rPr>
                        <w:t xml:space="preserve">                 </w:t>
                      </w:r>
                      <w:r w:rsidRPr="004529A3">
                        <w:rPr>
                          <w:rFonts w:ascii="Calibri Light" w:hAnsi="Calibri Light" w:cs="Calibri Light"/>
                          <w:color w:val="EEECE1" w:themeColor="background2"/>
                          <w:sz w:val="20"/>
                          <w:szCs w:val="18"/>
                        </w:rPr>
                        <w:t>Copyright</w:t>
                      </w:r>
                      <w:r w:rsidRPr="004529A3">
                        <w:rPr>
                          <w:rFonts w:ascii="Calibri Light" w:hAnsi="Calibri Light" w:cs="Calibri Light"/>
                          <w:color w:val="EEECE1" w:themeColor="background2"/>
                          <w:spacing w:val="-11"/>
                          <w:sz w:val="20"/>
                          <w:szCs w:val="18"/>
                        </w:rPr>
                        <w:t xml:space="preserve"> </w:t>
                      </w:r>
                      <w:r w:rsidRPr="004529A3">
                        <w:rPr>
                          <w:rFonts w:ascii="Calibri Light" w:hAnsi="Calibri Light" w:cs="Calibri Light"/>
                          <w:color w:val="EEECE1" w:themeColor="background2"/>
                          <w:sz w:val="20"/>
                          <w:szCs w:val="18"/>
                        </w:rPr>
                        <w:t>©</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2022.</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Texas</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Education</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Agency.</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All</w:t>
                      </w:r>
                      <w:r w:rsidRPr="004529A3">
                        <w:rPr>
                          <w:rFonts w:ascii="Calibri Light" w:hAnsi="Calibri Light" w:cs="Calibri Light"/>
                          <w:color w:val="EEECE1" w:themeColor="background2"/>
                          <w:spacing w:val="-9"/>
                          <w:sz w:val="20"/>
                          <w:szCs w:val="18"/>
                        </w:rPr>
                        <w:t xml:space="preserve"> </w:t>
                      </w:r>
                      <w:r w:rsidRPr="004529A3">
                        <w:rPr>
                          <w:rFonts w:ascii="Calibri Light" w:hAnsi="Calibri Light" w:cs="Calibri Light"/>
                          <w:color w:val="EEECE1" w:themeColor="background2"/>
                          <w:sz w:val="20"/>
                          <w:szCs w:val="18"/>
                        </w:rPr>
                        <w:t>Rights</w:t>
                      </w:r>
                      <w:r w:rsidRPr="004529A3">
                        <w:rPr>
                          <w:rFonts w:ascii="Calibri Light" w:hAnsi="Calibri Light" w:cs="Calibri Light"/>
                          <w:color w:val="EEECE1" w:themeColor="background2"/>
                          <w:spacing w:val="-8"/>
                          <w:sz w:val="20"/>
                          <w:szCs w:val="18"/>
                        </w:rPr>
                        <w:t xml:space="preserve"> </w:t>
                      </w:r>
                      <w:r w:rsidRPr="004529A3">
                        <w:rPr>
                          <w:rFonts w:ascii="Calibri Light" w:hAnsi="Calibri Light" w:cs="Calibri Light"/>
                          <w:color w:val="EEECE1" w:themeColor="background2"/>
                          <w:spacing w:val="-2"/>
                          <w:sz w:val="20"/>
                          <w:szCs w:val="18"/>
                        </w:rPr>
                        <w:t>Reserved.</w:t>
                      </w:r>
                    </w:p>
                    <w:p w14:paraId="14EA82CD" w14:textId="02054017" w:rsidR="0017167C" w:rsidRDefault="0017167C" w:rsidP="0017167C">
                      <w:pPr>
                        <w:jc w:val="center"/>
                      </w:pPr>
                    </w:p>
                  </w:txbxContent>
                </v:textbox>
                <w10:wrap anchorx="margin"/>
              </v:shape>
            </w:pict>
          </mc:Fallback>
        </mc:AlternateContent>
      </w:r>
    </w:p>
    <w:sectPr w:rsidR="00DA50A7">
      <w:type w:val="continuous"/>
      <w:pgSz w:w="12240" w:h="15840"/>
      <w:pgMar w:top="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EFD"/>
    <w:multiLevelType w:val="hybridMultilevel"/>
    <w:tmpl w:val="7894307E"/>
    <w:lvl w:ilvl="0" w:tplc="64522D4E">
      <w:start w:val="1"/>
      <w:numFmt w:val="decimal"/>
      <w:lvlText w:val="%1."/>
      <w:lvlJc w:val="left"/>
      <w:pPr>
        <w:ind w:left="1080" w:hanging="360"/>
      </w:pPr>
      <w:rPr>
        <w:rFonts w:hint="default"/>
        <w:color w:val="0A569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869A0"/>
    <w:multiLevelType w:val="hybridMultilevel"/>
    <w:tmpl w:val="D2C8B88C"/>
    <w:lvl w:ilvl="0" w:tplc="16B45B2E">
      <w:numFmt w:val="bullet"/>
      <w:lvlText w:val="●"/>
      <w:lvlJc w:val="left"/>
      <w:pPr>
        <w:ind w:left="2160" w:hanging="720"/>
      </w:pPr>
      <w:rPr>
        <w:rFonts w:ascii="Calibri" w:hAnsi="Calibri" w:hint="default"/>
        <w:color w:val="0070C0"/>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61DD16D9"/>
    <w:multiLevelType w:val="hybridMultilevel"/>
    <w:tmpl w:val="0ED0B624"/>
    <w:lvl w:ilvl="0" w:tplc="318C5444">
      <w:numFmt w:val="bullet"/>
      <w:lvlText w:val="·"/>
      <w:lvlJc w:val="left"/>
      <w:pPr>
        <w:ind w:left="1440" w:hanging="72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B135AA"/>
    <w:multiLevelType w:val="hybridMultilevel"/>
    <w:tmpl w:val="EB362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5C4670"/>
    <w:multiLevelType w:val="hybridMultilevel"/>
    <w:tmpl w:val="7894307E"/>
    <w:lvl w:ilvl="0" w:tplc="FFFFFFFF">
      <w:start w:val="1"/>
      <w:numFmt w:val="decimal"/>
      <w:lvlText w:val="%1."/>
      <w:lvlJc w:val="left"/>
      <w:pPr>
        <w:ind w:left="1080" w:hanging="360"/>
      </w:pPr>
      <w:rPr>
        <w:rFonts w:hint="default"/>
        <w:color w:val="0A569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75155185">
    <w:abstractNumId w:val="0"/>
  </w:num>
  <w:num w:numId="2" w16cid:durableId="2059280902">
    <w:abstractNumId w:val="3"/>
  </w:num>
  <w:num w:numId="3" w16cid:durableId="742987423">
    <w:abstractNumId w:val="2"/>
  </w:num>
  <w:num w:numId="4" w16cid:durableId="2035230661">
    <w:abstractNumId w:val="1"/>
  </w:num>
  <w:num w:numId="5" w16cid:durableId="1734500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23"/>
    <w:rsid w:val="00013DE5"/>
    <w:rsid w:val="001402C0"/>
    <w:rsid w:val="00167D3A"/>
    <w:rsid w:val="0017167C"/>
    <w:rsid w:val="001C716C"/>
    <w:rsid w:val="00212420"/>
    <w:rsid w:val="002705EE"/>
    <w:rsid w:val="00271C63"/>
    <w:rsid w:val="002739D8"/>
    <w:rsid w:val="00415423"/>
    <w:rsid w:val="004529A3"/>
    <w:rsid w:val="004D5858"/>
    <w:rsid w:val="005150CF"/>
    <w:rsid w:val="006540E4"/>
    <w:rsid w:val="006E2B63"/>
    <w:rsid w:val="00731C12"/>
    <w:rsid w:val="0076235D"/>
    <w:rsid w:val="00800CC5"/>
    <w:rsid w:val="00960761"/>
    <w:rsid w:val="009F5BC7"/>
    <w:rsid w:val="00A11734"/>
    <w:rsid w:val="00A45205"/>
    <w:rsid w:val="00A77B6B"/>
    <w:rsid w:val="00AE4BA9"/>
    <w:rsid w:val="00B516DB"/>
    <w:rsid w:val="00BA6002"/>
    <w:rsid w:val="00C034BB"/>
    <w:rsid w:val="00C453A9"/>
    <w:rsid w:val="00C82EB1"/>
    <w:rsid w:val="00C90159"/>
    <w:rsid w:val="00CE3515"/>
    <w:rsid w:val="00D033B1"/>
    <w:rsid w:val="00DA50A7"/>
    <w:rsid w:val="00E37DA7"/>
    <w:rsid w:val="00E91779"/>
    <w:rsid w:val="00E968DA"/>
    <w:rsid w:val="00EB044F"/>
    <w:rsid w:val="00F777C4"/>
    <w:rsid w:val="00F9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EB71"/>
  <w15:docId w15:val="{B911725D-F631-4153-A75C-D08C5BF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1757" w:lineRule="exact"/>
    </w:pPr>
    <w:rPr>
      <w:rFonts w:ascii="Open Sans Extrabold" w:eastAsia="Open Sans Extrabold" w:hAnsi="Open Sans Extrabold" w:cs="Open Sans Extrabold"/>
      <w:b/>
      <w:bCs/>
      <w:sz w:val="175"/>
      <w:szCs w:val="17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C63"/>
    <w:rPr>
      <w:color w:val="0000FF" w:themeColor="hyperlink"/>
      <w:u w:val="single"/>
    </w:rPr>
  </w:style>
  <w:style w:type="character" w:styleId="UnresolvedMention">
    <w:name w:val="Unresolved Mention"/>
    <w:basedOn w:val="DefaultParagraphFont"/>
    <w:uiPriority w:val="99"/>
    <w:semiHidden/>
    <w:unhideWhenUsed/>
    <w:rsid w:val="00271C63"/>
    <w:rPr>
      <w:color w:val="605E5C"/>
      <w:shd w:val="clear" w:color="auto" w:fill="E1DFDD"/>
    </w:rPr>
  </w:style>
  <w:style w:type="table" w:styleId="GridTable2-Accent1">
    <w:name w:val="Grid Table 2 Accent 1"/>
    <w:basedOn w:val="TableNormal"/>
    <w:uiPriority w:val="47"/>
    <w:rsid w:val="001C71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a.texas.gov/texas-schools/accountability/academic-accountability/performance-reporting/how-accountability-ratings-work" TargetMode="External"/><Relationship Id="rId13" Type="http://schemas.openxmlformats.org/officeDocument/2006/relationships/hyperlink" Target="https://txschools.gov/?lng=en" TargetMode="External"/><Relationship Id="rId3" Type="http://schemas.openxmlformats.org/officeDocument/2006/relationships/settings" Target="settings.xml"/><Relationship Id="rId7" Type="http://schemas.openxmlformats.org/officeDocument/2006/relationships/hyperlink" Target="https://txschools.gov/?lng=en" TargetMode="External"/><Relationship Id="rId12" Type="http://schemas.openxmlformats.org/officeDocument/2006/relationships/hyperlink" Target="https://rptsvr1.tea.texas.gov/perfreport/parentresource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xschools.gov/?lng=en" TargetMode="External"/><Relationship Id="rId5" Type="http://schemas.openxmlformats.org/officeDocument/2006/relationships/image" Target="media/image1.png"/><Relationship Id="rId15" Type="http://schemas.openxmlformats.org/officeDocument/2006/relationships/hyperlink" Target="https://txschools.gov/?lng=en" TargetMode="External"/><Relationship Id="rId10" Type="http://schemas.openxmlformats.org/officeDocument/2006/relationships/hyperlink" Target="https://tea4svsasdev.tea.state.tx.us/perfreport/account/txschools22?view=schools&amp;lng=en" TargetMode="External"/><Relationship Id="rId4" Type="http://schemas.openxmlformats.org/officeDocument/2006/relationships/webSettings" Target="webSettings.xml"/><Relationship Id="rId9" Type="http://schemas.openxmlformats.org/officeDocument/2006/relationships/hyperlink" Target="https://txschools.gov/?lng=en" TargetMode="External"/><Relationship Id="rId14" Type="http://schemas.openxmlformats.org/officeDocument/2006/relationships/hyperlink" Target="https://rptsvr1.tea.texas.gov/perfreport/account/va/school-comp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TXschools-parent-faqs-english</vt:lpstr>
    </vt:vector>
  </TitlesOfParts>
  <Manager/>
  <Company/>
  <LinksUpToDate>false</LinksUpToDate>
  <CharactersWithSpaces>3328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TXschools-parent-faqs-english</dc:title>
  <dc:subject/>
  <dc:creator>Texas Education Agency</dc:creator>
  <cp:keywords/>
  <dc:description/>
  <cp:lastModifiedBy>Delgado, Jonathan</cp:lastModifiedBy>
  <cp:revision>5</cp:revision>
  <cp:lastPrinted>2022-07-13T17:28:00Z</cp:lastPrinted>
  <dcterms:created xsi:type="dcterms:W3CDTF">2022-07-14T14:25:00Z</dcterms:created>
  <dcterms:modified xsi:type="dcterms:W3CDTF">2022-08-15T20:02:00Z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2022-07-04T10:00:00Z</vt:filetime>
  </property>
  <property fmtid="{D5CDD505-2E9C-101B-9397-08002B2CF9AE}" pid="3" name="Creator">
    <vt:lpwstr>Adobe InDesign 17.3 (Windows)</vt:lpwstr>
  </property>
  <property fmtid="{D5CDD505-2E9C-101B-9397-08002B2CF9AE}" pid="4" name="LastSaved">
    <vt:filetime>2022-07-04T10:00:00Z</vt:filetime>
  </property>
  <property fmtid="{D5CDD505-2E9C-101B-9397-08002B2CF9AE}" pid="5" name="Producer">
    <vt:lpwstr>Adobe PDF Library 16.0.7</vt:lpwstr>
  </property>
</Properties>
</file>